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CEFA" w14:textId="77777777" w:rsidR="00C742C9" w:rsidRPr="00044115" w:rsidRDefault="00BC5B1D" w:rsidP="00C742C9">
      <w:pPr>
        <w:pBdr>
          <w:bottom w:val="single" w:sz="12" w:space="1" w:color="auto"/>
        </w:pBdr>
        <w:rPr>
          <w:b/>
          <w:bCs/>
          <w:sz w:val="28"/>
          <w:szCs w:val="28"/>
        </w:rPr>
      </w:pPr>
      <w:r w:rsidRPr="00044115">
        <w:rPr>
          <w:b/>
          <w:bCs/>
          <w:sz w:val="28"/>
          <w:szCs w:val="28"/>
        </w:rPr>
        <w:t>Treasury Management Strategy 202</w:t>
      </w:r>
      <w:r w:rsidR="00044115" w:rsidRPr="00044115">
        <w:rPr>
          <w:b/>
          <w:bCs/>
          <w:sz w:val="28"/>
          <w:szCs w:val="28"/>
        </w:rPr>
        <w:t>2/23</w:t>
      </w:r>
    </w:p>
    <w:p w14:paraId="2E84FC67" w14:textId="77777777" w:rsidR="00C742C9" w:rsidRPr="00044115" w:rsidRDefault="00BC5B1D" w:rsidP="00C742C9">
      <w:pPr>
        <w:pBdr>
          <w:bottom w:val="single" w:sz="12" w:space="1" w:color="auto"/>
        </w:pBdr>
        <w:rPr>
          <w:bCs/>
        </w:rPr>
      </w:pPr>
      <w:r w:rsidRPr="00044115">
        <w:rPr>
          <w:b/>
          <w:bCs/>
          <w:sz w:val="28"/>
          <w:szCs w:val="28"/>
        </w:rPr>
        <w:t xml:space="preserve"> </w:t>
      </w:r>
    </w:p>
    <w:p w14:paraId="3ED3BC02" w14:textId="77777777" w:rsidR="00C742C9" w:rsidRPr="00044115" w:rsidRDefault="00C742C9" w:rsidP="00C742C9">
      <w:pPr>
        <w:jc w:val="both"/>
      </w:pPr>
    </w:p>
    <w:p w14:paraId="5BE0623B" w14:textId="77777777" w:rsidR="00C742C9" w:rsidRPr="00044115" w:rsidRDefault="00BC5B1D" w:rsidP="00C742C9">
      <w:pPr>
        <w:jc w:val="both"/>
      </w:pPr>
      <w:r w:rsidRPr="00044115">
        <w:t xml:space="preserve">Under the Local Government Act 2003, local authorities must have regard to statutory proper practices in their treasury management activities. In effect this means the council must adhere to the Chartered </w:t>
      </w:r>
      <w:r w:rsidRPr="00044115">
        <w:t>Institute of Public Finance and Accountancy’s</w:t>
      </w:r>
      <w:r w:rsidR="00F81FB6">
        <w:t xml:space="preserve"> </w:t>
      </w:r>
      <w:r w:rsidR="00834117">
        <w:t>(CIPFA)</w:t>
      </w:r>
      <w:r w:rsidRPr="00044115">
        <w:t xml:space="preserve"> </w:t>
      </w:r>
      <w:r w:rsidR="00834117">
        <w:t xml:space="preserve">Prudential Code for capital finance in local authorities, CIPFA's </w:t>
      </w:r>
      <w:r w:rsidRPr="00044115">
        <w:t xml:space="preserve">'Treasury Management in the Public Services: Code of Practice' (the CIPFA Code), and the </w:t>
      </w:r>
      <w:r w:rsidR="00BC1B7A">
        <w:t xml:space="preserve">then </w:t>
      </w:r>
      <w:r w:rsidRPr="00044115">
        <w:t>Ministry of Homes, Communities and Local G</w:t>
      </w:r>
      <w:r w:rsidRPr="00044115">
        <w:t>overnment guidance on local authority investments.</w:t>
      </w:r>
    </w:p>
    <w:p w14:paraId="4A25528A" w14:textId="77777777" w:rsidR="00C742C9" w:rsidRPr="00044115" w:rsidRDefault="00C742C9" w:rsidP="00C742C9">
      <w:pPr>
        <w:jc w:val="both"/>
      </w:pPr>
    </w:p>
    <w:p w14:paraId="14DC618F" w14:textId="77777777" w:rsidR="00C742C9" w:rsidRPr="00044115" w:rsidRDefault="00BC5B1D" w:rsidP="00C742C9">
      <w:pPr>
        <w:jc w:val="both"/>
      </w:pPr>
      <w:r w:rsidRPr="00044115">
        <w:t>The CIPFA code requires the treasury management strategy to be produced and approved annually. In addition</w:t>
      </w:r>
      <w:r w:rsidR="00BC1B7A">
        <w:t>,</w:t>
      </w:r>
      <w:r w:rsidRPr="00044115">
        <w:t xml:space="preserve"> the </w:t>
      </w:r>
      <w:r w:rsidR="00EA5480">
        <w:t xml:space="preserve">then </w:t>
      </w:r>
      <w:r w:rsidRPr="00044115">
        <w:t>M</w:t>
      </w:r>
      <w:r w:rsidR="003D4BD6" w:rsidRPr="00044115">
        <w:t xml:space="preserve">inistry </w:t>
      </w:r>
      <w:r>
        <w:t xml:space="preserve">of </w:t>
      </w:r>
      <w:r w:rsidRPr="00044115">
        <w:t>H</w:t>
      </w:r>
      <w:r w:rsidR="003D4BD6" w:rsidRPr="00044115">
        <w:t xml:space="preserve">omes, Communities and Local Government </w:t>
      </w:r>
      <w:r w:rsidRPr="00044115">
        <w:t>has issued updated statutory guidan</w:t>
      </w:r>
      <w:r w:rsidRPr="00044115">
        <w:t>ce on local government investments. This now covers a wider definition of investments and includes those that support local public services by lending to or buying shares in other organisations (service investments), and those made to earn investment incom</w:t>
      </w:r>
      <w:r w:rsidRPr="00044115">
        <w:t xml:space="preserve">e (known as commercial investments where this is the main purpose). Investments held for service purposes or for commercial profit are considered in the </w:t>
      </w:r>
      <w:r w:rsidR="00BC1B7A">
        <w:t>separate</w:t>
      </w:r>
      <w:r w:rsidRPr="00044115">
        <w:t xml:space="preserve"> investment strategy.</w:t>
      </w:r>
    </w:p>
    <w:p w14:paraId="6597743A" w14:textId="77777777" w:rsidR="00C742C9" w:rsidRPr="00044115" w:rsidRDefault="00C742C9" w:rsidP="00C742C9"/>
    <w:p w14:paraId="7E52C7A2" w14:textId="77777777" w:rsidR="00C742C9" w:rsidRPr="00044115" w:rsidRDefault="00BC5B1D" w:rsidP="00C742C9">
      <w:pPr>
        <w:jc w:val="both"/>
      </w:pPr>
      <w:r w:rsidRPr="00044115">
        <w:t xml:space="preserve">In conjunction with the detailed treasury management practices approved </w:t>
      </w:r>
      <w:r w:rsidRPr="00044115">
        <w:t>by the Director of Finance, the strategy provides the policy framework for the engagement of the council with financial markets in order to fund its capital investment programme, to maintain the security of its cash balances and protect them from credit, l</w:t>
      </w:r>
      <w:r w:rsidRPr="00044115">
        <w:t>iquidity, inflation and interest rate risk.</w:t>
      </w:r>
    </w:p>
    <w:p w14:paraId="48C187A3" w14:textId="77777777" w:rsidR="00C742C9" w:rsidRPr="00044115" w:rsidRDefault="00C742C9" w:rsidP="00C742C9"/>
    <w:p w14:paraId="437D66BC" w14:textId="77777777" w:rsidR="00C742C9" w:rsidRPr="00044115" w:rsidRDefault="00BC5B1D" w:rsidP="00C742C9">
      <w:pPr>
        <w:jc w:val="both"/>
      </w:pPr>
      <w:r w:rsidRPr="00044115">
        <w:t>The strategy includes provisions for borrowing, treasury investments, financial derivatives and the indicators that will be used for monitoring purposes throughout the year. It is designed to achieve the followi</w:t>
      </w:r>
      <w:r w:rsidRPr="00044115">
        <w:t>ng objectives:</w:t>
      </w:r>
    </w:p>
    <w:p w14:paraId="3CDB1110" w14:textId="77777777" w:rsidR="00C742C9" w:rsidRPr="00044115" w:rsidRDefault="00BC5B1D" w:rsidP="00C742C9">
      <w:pPr>
        <w:pStyle w:val="ListParagraph"/>
        <w:numPr>
          <w:ilvl w:val="0"/>
          <w:numId w:val="28"/>
        </w:numPr>
        <w:jc w:val="both"/>
      </w:pPr>
      <w:r w:rsidRPr="00044115">
        <w:t>To ensure the security of the principal sums invested which represent the council's various reserves and balances.</w:t>
      </w:r>
    </w:p>
    <w:p w14:paraId="3B2A79B1" w14:textId="77777777" w:rsidR="00C742C9" w:rsidRPr="00044115" w:rsidRDefault="00BC5B1D" w:rsidP="00C742C9">
      <w:pPr>
        <w:pStyle w:val="ListParagraph"/>
        <w:numPr>
          <w:ilvl w:val="0"/>
          <w:numId w:val="28"/>
        </w:numPr>
        <w:jc w:val="both"/>
      </w:pPr>
      <w:r w:rsidRPr="00044115">
        <w:t>To ensure that the council has access to cash resources as and when required.</w:t>
      </w:r>
    </w:p>
    <w:p w14:paraId="678B3DD6" w14:textId="77777777" w:rsidR="00C742C9" w:rsidRPr="00044115" w:rsidRDefault="00BC5B1D" w:rsidP="00C742C9">
      <w:pPr>
        <w:pStyle w:val="ListParagraph"/>
        <w:numPr>
          <w:ilvl w:val="0"/>
          <w:numId w:val="28"/>
        </w:numPr>
        <w:jc w:val="both"/>
      </w:pPr>
      <w:r w:rsidRPr="00044115">
        <w:t>To minimise the cost of the borrowing required t</w:t>
      </w:r>
      <w:r w:rsidRPr="00044115">
        <w:t>o finance the council's capital investment programme,</w:t>
      </w:r>
      <w:r w:rsidR="00834117">
        <w:t xml:space="preserve"> </w:t>
      </w:r>
      <w:r w:rsidRPr="00044115">
        <w:t xml:space="preserve">and </w:t>
      </w:r>
      <w:r w:rsidR="00834117">
        <w:t xml:space="preserve">to </w:t>
      </w:r>
      <w:r w:rsidRPr="00044115">
        <w:t xml:space="preserve">manage interest and inflation rate risks appropriately. </w:t>
      </w:r>
    </w:p>
    <w:p w14:paraId="63D01FF8" w14:textId="77777777" w:rsidR="00C742C9" w:rsidRPr="00044115" w:rsidRDefault="00BC5B1D" w:rsidP="00C742C9">
      <w:pPr>
        <w:pStyle w:val="ListParagraph"/>
        <w:numPr>
          <w:ilvl w:val="0"/>
          <w:numId w:val="28"/>
        </w:numPr>
        <w:jc w:val="both"/>
      </w:pPr>
      <w:r w:rsidRPr="00044115">
        <w:t>To maximise investment returns commensurate with the council's policy of minimising risks to the security of capital and its liquidity pos</w:t>
      </w:r>
      <w:r w:rsidRPr="00044115">
        <w:t>ition.</w:t>
      </w:r>
    </w:p>
    <w:p w14:paraId="42675625" w14:textId="77777777" w:rsidR="00C742C9" w:rsidRPr="00044115" w:rsidRDefault="00C742C9" w:rsidP="00C742C9"/>
    <w:p w14:paraId="1160963F" w14:textId="77777777" w:rsidR="00C742C9" w:rsidRDefault="00BC5B1D" w:rsidP="00C742C9">
      <w:pPr>
        <w:jc w:val="both"/>
      </w:pPr>
      <w:r w:rsidRPr="00044115">
        <w:t xml:space="preserve">In setting the treasury management strategy, the following factors have a strong influence: </w:t>
      </w:r>
    </w:p>
    <w:p w14:paraId="4170A955" w14:textId="77777777" w:rsidR="00F81FB6" w:rsidRPr="00044115" w:rsidRDefault="00F81FB6" w:rsidP="00C742C9">
      <w:pPr>
        <w:jc w:val="both"/>
      </w:pPr>
    </w:p>
    <w:p w14:paraId="1A1CEF6F" w14:textId="77777777" w:rsidR="00C742C9" w:rsidRPr="00044115" w:rsidRDefault="00BC5B1D" w:rsidP="00177EA0">
      <w:pPr>
        <w:pStyle w:val="ListParagraph"/>
        <w:numPr>
          <w:ilvl w:val="0"/>
          <w:numId w:val="3"/>
        </w:numPr>
        <w:ind w:left="360"/>
        <w:jc w:val="both"/>
      </w:pPr>
      <w:r w:rsidRPr="00044115">
        <w:t>the economic position</w:t>
      </w:r>
    </w:p>
    <w:p w14:paraId="631A28B9" w14:textId="77777777" w:rsidR="00C742C9" w:rsidRPr="00044115" w:rsidRDefault="00BC5B1D" w:rsidP="00177EA0">
      <w:pPr>
        <w:pStyle w:val="ListParagraph"/>
        <w:numPr>
          <w:ilvl w:val="0"/>
          <w:numId w:val="3"/>
        </w:numPr>
        <w:ind w:left="360"/>
        <w:jc w:val="both"/>
      </w:pPr>
      <w:r w:rsidRPr="00044115">
        <w:t>the council's current investment and borrowing portfolio</w:t>
      </w:r>
    </w:p>
    <w:p w14:paraId="7D993245" w14:textId="77777777" w:rsidR="00C742C9" w:rsidRPr="00044115" w:rsidRDefault="00BC5B1D" w:rsidP="00177EA0">
      <w:pPr>
        <w:pStyle w:val="ListParagraph"/>
        <w:numPr>
          <w:ilvl w:val="0"/>
          <w:numId w:val="3"/>
        </w:numPr>
        <w:ind w:left="360"/>
        <w:jc w:val="both"/>
      </w:pPr>
      <w:r w:rsidRPr="00044115">
        <w:t>estimates of future borrowing and investment requirements</w:t>
      </w:r>
    </w:p>
    <w:p w14:paraId="792A84F0" w14:textId="77777777" w:rsidR="00F81FB6" w:rsidRDefault="00F81FB6" w:rsidP="00177EA0">
      <w:pPr>
        <w:jc w:val="both"/>
        <w:rPr>
          <w:b/>
          <w:bCs/>
          <w:i/>
          <w:highlight w:val="green"/>
        </w:rPr>
      </w:pPr>
    </w:p>
    <w:p w14:paraId="6F3ADF66" w14:textId="77777777" w:rsidR="00F81FB6" w:rsidRDefault="00F81FB6" w:rsidP="00177EA0">
      <w:pPr>
        <w:jc w:val="both"/>
        <w:rPr>
          <w:b/>
          <w:bCs/>
          <w:i/>
          <w:highlight w:val="green"/>
        </w:rPr>
      </w:pPr>
    </w:p>
    <w:p w14:paraId="409941C4" w14:textId="77777777" w:rsidR="00F81FB6" w:rsidRDefault="00F81FB6" w:rsidP="00177EA0">
      <w:pPr>
        <w:jc w:val="both"/>
        <w:rPr>
          <w:b/>
          <w:bCs/>
          <w:i/>
          <w:highlight w:val="green"/>
        </w:rPr>
      </w:pPr>
    </w:p>
    <w:p w14:paraId="527CE3D4" w14:textId="77777777" w:rsidR="00F81FB6" w:rsidRDefault="00F81FB6" w:rsidP="00177EA0">
      <w:pPr>
        <w:jc w:val="both"/>
        <w:rPr>
          <w:b/>
          <w:bCs/>
          <w:i/>
          <w:highlight w:val="green"/>
        </w:rPr>
      </w:pPr>
    </w:p>
    <w:p w14:paraId="1C3D1DE0" w14:textId="77777777" w:rsidR="00F81FB6" w:rsidRPr="00044115" w:rsidRDefault="00F81FB6" w:rsidP="00177EA0">
      <w:pPr>
        <w:jc w:val="both"/>
        <w:rPr>
          <w:b/>
          <w:bCs/>
          <w:i/>
          <w:highlight w:val="green"/>
        </w:rPr>
      </w:pPr>
    </w:p>
    <w:p w14:paraId="6FAFD664" w14:textId="77777777" w:rsidR="00C742C9" w:rsidRPr="00912D6E" w:rsidRDefault="00BC5B1D" w:rsidP="00C742C9">
      <w:pPr>
        <w:jc w:val="both"/>
        <w:rPr>
          <w:b/>
          <w:i/>
        </w:rPr>
      </w:pPr>
      <w:r w:rsidRPr="00912D6E">
        <w:rPr>
          <w:b/>
          <w:bCs/>
          <w:i/>
        </w:rPr>
        <w:lastRenderedPageBreak/>
        <w:t>Economic</w:t>
      </w:r>
      <w:r w:rsidRPr="00912D6E">
        <w:rPr>
          <w:b/>
          <w:i/>
        </w:rPr>
        <w:t xml:space="preserve"> position </w:t>
      </w:r>
    </w:p>
    <w:p w14:paraId="47C0A720" w14:textId="77777777" w:rsidR="00173F2B" w:rsidRPr="00912D6E" w:rsidRDefault="00173F2B" w:rsidP="00C742C9">
      <w:pPr>
        <w:jc w:val="both"/>
        <w:rPr>
          <w:b/>
          <w:i/>
        </w:rPr>
      </w:pPr>
    </w:p>
    <w:p w14:paraId="44D84693" w14:textId="77777777" w:rsidR="00B35111" w:rsidRDefault="00BC5B1D" w:rsidP="00B35111">
      <w:pPr>
        <w:pStyle w:val="ListParagraph"/>
        <w:ind w:left="0"/>
        <w:contextualSpacing w:val="0"/>
        <w:jc w:val="both"/>
      </w:pPr>
      <w:r w:rsidRPr="00912D6E">
        <w:rPr>
          <w:b/>
          <w:bCs/>
        </w:rPr>
        <w:t>Economic background:</w:t>
      </w:r>
      <w:r w:rsidRPr="00912D6E">
        <w:t xml:space="preserve"> </w:t>
      </w:r>
    </w:p>
    <w:p w14:paraId="381847F9" w14:textId="77777777" w:rsidR="00912D6E" w:rsidRDefault="00912D6E" w:rsidP="00B35111">
      <w:pPr>
        <w:pStyle w:val="ListParagraph"/>
        <w:ind w:left="0"/>
        <w:contextualSpacing w:val="0"/>
        <w:jc w:val="both"/>
      </w:pPr>
    </w:p>
    <w:p w14:paraId="168DFBBE" w14:textId="77777777" w:rsidR="00C75E5E" w:rsidRDefault="00BC5B1D" w:rsidP="00C75E5E">
      <w:pPr>
        <w:pStyle w:val="ListParagraph"/>
        <w:ind w:left="0"/>
        <w:contextualSpacing w:val="0"/>
        <w:jc w:val="both"/>
      </w:pPr>
      <w:r>
        <w:t xml:space="preserve">The treasury management activity will be influenced by the forecast of interest rates for the year. </w:t>
      </w:r>
      <w:r w:rsidR="00912D6E">
        <w:t>In December 2021 the Bank of England increased the Ba</w:t>
      </w:r>
      <w:r w:rsidR="001F5ADC">
        <w:t>nk</w:t>
      </w:r>
      <w:r w:rsidR="00912D6E">
        <w:t xml:space="preserve"> Rate </w:t>
      </w:r>
      <w:r w:rsidR="006A5940">
        <w:t>from</w:t>
      </w:r>
      <w:r w:rsidR="00912D6E">
        <w:t xml:space="preserve"> 0.1</w:t>
      </w:r>
      <w:r w:rsidR="006A5940">
        <w:t>0</w:t>
      </w:r>
      <w:r w:rsidR="00912D6E">
        <w:t>% to 0.25%. This increase is the first in over 3 years and was made in response to inflationary pressures. The November inflation rate, as measured by Consumer Prices Index (CPI) was 5.1% which was the highest for a decade</w:t>
      </w:r>
      <w:r>
        <w:t xml:space="preserve"> and the Bank of England forecasts suggest it may rise to 6% in the first few</w:t>
      </w:r>
      <w:r>
        <w:t xml:space="preserve"> months of 2022</w:t>
      </w:r>
      <w:r w:rsidR="00912D6E">
        <w:t>.</w:t>
      </w:r>
    </w:p>
    <w:p w14:paraId="5FFF6B28" w14:textId="77777777" w:rsidR="00C75E5E" w:rsidRDefault="00C75E5E" w:rsidP="00C75E5E">
      <w:pPr>
        <w:pStyle w:val="ListParagraph"/>
        <w:ind w:left="0"/>
        <w:contextualSpacing w:val="0"/>
        <w:jc w:val="both"/>
      </w:pPr>
    </w:p>
    <w:p w14:paraId="64BED424" w14:textId="77777777" w:rsidR="009F6C5A" w:rsidRDefault="00BC5B1D" w:rsidP="00C75E5E">
      <w:pPr>
        <w:pStyle w:val="ListParagraph"/>
        <w:ind w:left="0"/>
        <w:contextualSpacing w:val="0"/>
        <w:jc w:val="both"/>
      </w:pPr>
      <w:r w:rsidRPr="00C75E5E">
        <w:t xml:space="preserve">Gross domestic product (GDP) grew by 1.3% in the third calendar quarter of 2021 according to the initial estimate, compared to a gain of 5.5% </w:t>
      </w:r>
      <w:r w:rsidR="006A6B4D">
        <w:t>quarter on quarter</w:t>
      </w:r>
      <w:r w:rsidRPr="00C75E5E">
        <w:t xml:space="preserve"> in the previous quarter, with the annual rate slowing to 6.6% from 23.6%.  </w:t>
      </w:r>
      <w:r>
        <w:t>A</w:t>
      </w:r>
      <w:r w:rsidRPr="00C75E5E">
        <w:t>c</w:t>
      </w:r>
      <w:r w:rsidRPr="00C75E5E">
        <w:t xml:space="preserve">tivity </w:t>
      </w:r>
      <w:r w:rsidR="00C05B99">
        <w:t>was</w:t>
      </w:r>
      <w:r w:rsidRPr="00C75E5E">
        <w:t xml:space="preserve"> boosted by sectors that reopened following </w:t>
      </w:r>
      <w:r w:rsidR="00C05B99">
        <w:t xml:space="preserve">coronavirus </w:t>
      </w:r>
      <w:r w:rsidRPr="00C75E5E">
        <w:t>pandemic restrictions</w:t>
      </w:r>
      <w:r>
        <w:t>. However</w:t>
      </w:r>
      <w:r w:rsidR="00C05B99">
        <w:t>,</w:t>
      </w:r>
      <w:r>
        <w:t xml:space="preserve"> looking ahead there is a great deal of uncertainty around the </w:t>
      </w:r>
      <w:r w:rsidR="00C05B99" w:rsidRPr="00C05B99">
        <w:t xml:space="preserve">impact on the </w:t>
      </w:r>
      <w:r w:rsidR="00C05B99">
        <w:t>economy</w:t>
      </w:r>
      <w:r w:rsidR="00C05B99" w:rsidRPr="00C05B99">
        <w:t xml:space="preserve"> </w:t>
      </w:r>
      <w:r w:rsidR="00C05B99">
        <w:t>from the new Omicron variant which may lead to further restrictions.</w:t>
      </w:r>
      <w:r>
        <w:t xml:space="preserve"> </w:t>
      </w:r>
    </w:p>
    <w:p w14:paraId="07DD5787" w14:textId="77777777" w:rsidR="001F5ADC" w:rsidRDefault="001F5ADC" w:rsidP="00C75E5E">
      <w:pPr>
        <w:pStyle w:val="ListParagraph"/>
        <w:ind w:left="0"/>
        <w:contextualSpacing w:val="0"/>
        <w:jc w:val="both"/>
      </w:pPr>
    </w:p>
    <w:p w14:paraId="51737F7A" w14:textId="77777777" w:rsidR="001F5ADC" w:rsidRDefault="00BC5B1D" w:rsidP="00C75E5E">
      <w:pPr>
        <w:pStyle w:val="ListParagraph"/>
        <w:ind w:left="0"/>
        <w:contextualSpacing w:val="0"/>
        <w:jc w:val="both"/>
      </w:pPr>
      <w:r>
        <w:t>A s</w:t>
      </w:r>
      <w:r>
        <w:t xml:space="preserve">imilar picture </w:t>
      </w:r>
      <w:r w:rsidR="003E1C6A">
        <w:t xml:space="preserve">has occurred in many different areas of the world including the USA. Currently </w:t>
      </w:r>
      <w:r w:rsidR="003E1C6A" w:rsidRPr="003E1C6A">
        <w:t xml:space="preserve">the Federal Reserve </w:t>
      </w:r>
      <w:r w:rsidR="003E1C6A">
        <w:t xml:space="preserve">has </w:t>
      </w:r>
      <w:r w:rsidR="003E1C6A" w:rsidRPr="003E1C6A">
        <w:t>continue</w:t>
      </w:r>
      <w:r w:rsidR="003E1C6A">
        <w:t>d</w:t>
      </w:r>
      <w:r w:rsidR="003E1C6A" w:rsidRPr="003E1C6A">
        <w:t xml:space="preserve"> to maintain the Fed Funds rate at between 0% and 0.25% but signalled they are in favour of tightening interest rates at a faster pace in 2022, with three 0.25% movements now expected.</w:t>
      </w:r>
    </w:p>
    <w:p w14:paraId="56EE5651" w14:textId="77777777" w:rsidR="00C05B99" w:rsidRDefault="00C05B99" w:rsidP="00C75E5E">
      <w:pPr>
        <w:pStyle w:val="ListParagraph"/>
        <w:ind w:left="0"/>
        <w:contextualSpacing w:val="0"/>
        <w:jc w:val="both"/>
      </w:pPr>
    </w:p>
    <w:p w14:paraId="107249F4" w14:textId="77777777" w:rsidR="00C05B99" w:rsidRPr="00C05B99" w:rsidRDefault="00BC5B1D" w:rsidP="00C75E5E">
      <w:pPr>
        <w:pStyle w:val="ListParagraph"/>
        <w:ind w:left="0"/>
        <w:contextualSpacing w:val="0"/>
        <w:jc w:val="both"/>
        <w:rPr>
          <w:b/>
          <w:bCs/>
        </w:rPr>
      </w:pPr>
      <w:r w:rsidRPr="00C05B99">
        <w:rPr>
          <w:b/>
          <w:bCs/>
        </w:rPr>
        <w:t>Arlingclose Forecast</w:t>
      </w:r>
    </w:p>
    <w:p w14:paraId="0B8BD808" w14:textId="77777777" w:rsidR="00C05B99" w:rsidRDefault="00C05B99" w:rsidP="00C75E5E">
      <w:pPr>
        <w:pStyle w:val="ListParagraph"/>
        <w:ind w:left="0"/>
        <w:contextualSpacing w:val="0"/>
        <w:jc w:val="both"/>
      </w:pPr>
    </w:p>
    <w:p w14:paraId="0EEB5BD6" w14:textId="77777777" w:rsidR="00C05B99" w:rsidRDefault="00BC5B1D" w:rsidP="00C05B99">
      <w:pPr>
        <w:pStyle w:val="ListParagraph"/>
        <w:ind w:left="0"/>
        <w:jc w:val="both"/>
      </w:pPr>
      <w:bookmarkStart w:id="0" w:name="_Hlk90993115"/>
      <w:r>
        <w:t xml:space="preserve">Given the latest position the </w:t>
      </w:r>
      <w:r w:rsidR="00F81FB6">
        <w:t>council's</w:t>
      </w:r>
      <w:r>
        <w:t xml:space="preserve"> treasury management adviser Arlingclose is forecasting that Bank Rate will </w:t>
      </w:r>
      <w:r w:rsidR="003349CE" w:rsidRPr="003349CE">
        <w:t xml:space="preserve">rise to 0.50% in </w:t>
      </w:r>
      <w:r w:rsidR="003349CE">
        <w:t>the first quarter of</w:t>
      </w:r>
      <w:r w:rsidR="003349CE" w:rsidRPr="003349CE">
        <w:t xml:space="preserve"> 2022 </w:t>
      </w:r>
      <w:r>
        <w:t xml:space="preserve">to subdue </w:t>
      </w:r>
      <w:r>
        <w:t>inflationary pressures and the perceived desire by the</w:t>
      </w:r>
      <w:r w:rsidR="00F81FB6">
        <w:t xml:space="preserve"> Bank of England</w:t>
      </w:r>
      <w:r>
        <w:t xml:space="preserve"> to move away from emergency levels of interest rates.</w:t>
      </w:r>
      <w:r w:rsidR="003349CE">
        <w:t xml:space="preserve"> The forecast is for the Bank Rate to then remain constant until the end of the forecasting period (December 2024)</w:t>
      </w:r>
      <w:r w:rsidR="00F81FB6">
        <w:t>.</w:t>
      </w:r>
    </w:p>
    <w:p w14:paraId="762EEBAB" w14:textId="77777777" w:rsidR="00C05B99" w:rsidRDefault="00C05B99" w:rsidP="00C05B99">
      <w:pPr>
        <w:pStyle w:val="ListParagraph"/>
        <w:jc w:val="both"/>
      </w:pPr>
    </w:p>
    <w:p w14:paraId="0113F18A" w14:textId="77777777" w:rsidR="00C05B99" w:rsidRDefault="00BC5B1D" w:rsidP="00C05B99">
      <w:pPr>
        <w:pStyle w:val="ListParagraph"/>
        <w:ind w:left="0"/>
        <w:jc w:val="both"/>
      </w:pPr>
      <w:r>
        <w:t>Investors conti</w:t>
      </w:r>
      <w:r>
        <w:t>nue to price in multiple rises in Bank Rate over the next forecast horizon, and Arlingclose believes that although interest rates will rise again, the increases will not be to the extent predicted by financial markets. In the near-term, the risks around Ar</w:t>
      </w:r>
      <w:r>
        <w:t>lingclose’s central case are to the upside while over the medium-term the risks become more balanced</w:t>
      </w:r>
      <w:bookmarkEnd w:id="0"/>
      <w:r>
        <w:t>.</w:t>
      </w:r>
    </w:p>
    <w:p w14:paraId="7525FCB1" w14:textId="77777777" w:rsidR="00C05B99" w:rsidRDefault="00C05B99" w:rsidP="00C05B99">
      <w:pPr>
        <w:pStyle w:val="ListParagraph"/>
        <w:ind w:left="0"/>
        <w:jc w:val="both"/>
      </w:pPr>
    </w:p>
    <w:p w14:paraId="4D5C1008" w14:textId="77777777" w:rsidR="00C75E5E" w:rsidRDefault="00BC5B1D" w:rsidP="00C05B99">
      <w:pPr>
        <w:pStyle w:val="ListParagraph"/>
        <w:ind w:left="0"/>
        <w:contextualSpacing w:val="0"/>
        <w:jc w:val="both"/>
      </w:pPr>
      <w:r>
        <w:t>Gilt y</w:t>
      </w:r>
      <w:r w:rsidR="00C05B99">
        <w:t>ields are expected to remain broadly at current levels over the medium-term, with the 5, 10 and 20</w:t>
      </w:r>
      <w:r w:rsidR="007A63A0">
        <w:t>-</w:t>
      </w:r>
      <w:r w:rsidR="00C05B99">
        <w:t>year gilt yields expected to average around 0.65%, 0.90%, and 1.15% respectively. The risks around for short and medium-term yields are initially to the upside but shifts lower later, while for long-term yields the risk is to the upside. However, as ever there will almost certainly be short-term volatility due to economic and political uncertainty and events.</w:t>
      </w:r>
    </w:p>
    <w:p w14:paraId="5FDFE057" w14:textId="77777777" w:rsidR="00F81FB6" w:rsidRDefault="00F81FB6" w:rsidP="00C742C9">
      <w:pPr>
        <w:jc w:val="both"/>
        <w:rPr>
          <w:b/>
          <w:i/>
        </w:rPr>
      </w:pPr>
    </w:p>
    <w:p w14:paraId="2AAE56DA" w14:textId="77777777" w:rsidR="00C742C9" w:rsidRPr="003E157E" w:rsidRDefault="00BC5B1D" w:rsidP="00C742C9">
      <w:pPr>
        <w:jc w:val="both"/>
        <w:rPr>
          <w:b/>
          <w:i/>
        </w:rPr>
      </w:pPr>
      <w:r w:rsidRPr="003E157E">
        <w:rPr>
          <w:b/>
          <w:i/>
        </w:rPr>
        <w:t>Current portfolio</w:t>
      </w:r>
    </w:p>
    <w:p w14:paraId="7D46BC96" w14:textId="77777777" w:rsidR="00717E3A" w:rsidRPr="003E157E" w:rsidRDefault="00717E3A" w:rsidP="00C742C9">
      <w:pPr>
        <w:jc w:val="both"/>
        <w:rPr>
          <w:b/>
          <w:i/>
        </w:rPr>
      </w:pPr>
    </w:p>
    <w:p w14:paraId="1DBDCD11" w14:textId="77777777" w:rsidR="003E157E" w:rsidRDefault="00BC5B1D" w:rsidP="00C742C9">
      <w:pPr>
        <w:jc w:val="both"/>
      </w:pPr>
      <w:r w:rsidRPr="003E157E">
        <w:t>The council’s treasury</w:t>
      </w:r>
      <w:r w:rsidR="00BE7266" w:rsidRPr="003E157E">
        <w:t xml:space="preserve"> portfolio as at 30 November 202</w:t>
      </w:r>
      <w:r w:rsidRPr="003E157E">
        <w:t xml:space="preserve">1 was as follows. </w:t>
      </w:r>
    </w:p>
    <w:p w14:paraId="1570C159" w14:textId="77777777" w:rsidR="00C4654D" w:rsidRDefault="00C4654D" w:rsidP="00C742C9">
      <w:pPr>
        <w:jc w:val="both"/>
      </w:pPr>
    </w:p>
    <w:p w14:paraId="21B62157" w14:textId="77777777" w:rsidR="007A63A0" w:rsidRDefault="007A63A0" w:rsidP="00C742C9">
      <w:pPr>
        <w:jc w:val="both"/>
      </w:pPr>
    </w:p>
    <w:p w14:paraId="6329CE4F" w14:textId="77777777" w:rsidR="00C4654D" w:rsidRPr="003E157E" w:rsidRDefault="00C4654D" w:rsidP="00C742C9">
      <w:pPr>
        <w:jc w:val="both"/>
      </w:pPr>
    </w:p>
    <w:tbl>
      <w:tblPr>
        <w:tblW w:w="8858" w:type="dxa"/>
        <w:tblLook w:val="04A0" w:firstRow="1" w:lastRow="0" w:firstColumn="1" w:lastColumn="0" w:noHBand="0" w:noVBand="1"/>
      </w:tblPr>
      <w:tblGrid>
        <w:gridCol w:w="7319"/>
        <w:gridCol w:w="1539"/>
      </w:tblGrid>
      <w:tr w:rsidR="00937FCD" w14:paraId="3529DCC2" w14:textId="77777777" w:rsidTr="003E157E">
        <w:trPr>
          <w:trHeight w:val="314"/>
        </w:trPr>
        <w:tc>
          <w:tcPr>
            <w:tcW w:w="73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CA662" w14:textId="77777777" w:rsidR="003E157E" w:rsidRPr="003E157E" w:rsidRDefault="00BC5B1D" w:rsidP="003E157E">
            <w:pPr>
              <w:rPr>
                <w:color w:val="000000"/>
              </w:rPr>
            </w:pPr>
            <w:r w:rsidRPr="003E157E">
              <w:rPr>
                <w:color w:val="000000"/>
              </w:rPr>
              <w:lastRenderedPageBreak/>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14:paraId="0CE7D6D8" w14:textId="77777777" w:rsidR="003E157E" w:rsidRPr="003E157E" w:rsidRDefault="00BC5B1D" w:rsidP="003E157E">
            <w:pPr>
              <w:jc w:val="right"/>
              <w:rPr>
                <w:color w:val="000000"/>
              </w:rPr>
            </w:pPr>
            <w:r w:rsidRPr="003E157E">
              <w:rPr>
                <w:color w:val="000000"/>
              </w:rPr>
              <w:t>£m</w:t>
            </w:r>
          </w:p>
        </w:tc>
      </w:tr>
      <w:tr w:rsidR="00937FCD" w14:paraId="7AE2EDFF" w14:textId="77777777" w:rsidTr="003E157E">
        <w:trPr>
          <w:trHeight w:val="314"/>
        </w:trPr>
        <w:tc>
          <w:tcPr>
            <w:tcW w:w="7319" w:type="dxa"/>
            <w:tcBorders>
              <w:top w:val="nil"/>
              <w:left w:val="single" w:sz="8" w:space="0" w:color="auto"/>
              <w:bottom w:val="single" w:sz="8" w:space="0" w:color="auto"/>
              <w:right w:val="single" w:sz="8" w:space="0" w:color="auto"/>
            </w:tcBorders>
            <w:shd w:val="clear" w:color="auto" w:fill="auto"/>
            <w:noWrap/>
            <w:vAlign w:val="center"/>
            <w:hideMark/>
          </w:tcPr>
          <w:p w14:paraId="2206D279" w14:textId="77777777" w:rsidR="003E157E" w:rsidRPr="003E157E" w:rsidRDefault="00BC5B1D" w:rsidP="003E157E">
            <w:pPr>
              <w:rPr>
                <w:color w:val="000000"/>
              </w:rPr>
            </w:pPr>
            <w:r w:rsidRPr="003E157E">
              <w:rPr>
                <w:color w:val="000000"/>
              </w:rPr>
              <w:t>Call accounts</w:t>
            </w:r>
          </w:p>
        </w:tc>
        <w:tc>
          <w:tcPr>
            <w:tcW w:w="1539" w:type="dxa"/>
            <w:tcBorders>
              <w:top w:val="nil"/>
              <w:left w:val="nil"/>
              <w:bottom w:val="single" w:sz="8" w:space="0" w:color="auto"/>
              <w:right w:val="single" w:sz="8" w:space="0" w:color="auto"/>
            </w:tcBorders>
            <w:shd w:val="clear" w:color="auto" w:fill="auto"/>
            <w:noWrap/>
            <w:vAlign w:val="center"/>
            <w:hideMark/>
          </w:tcPr>
          <w:p w14:paraId="7AC5372F" w14:textId="77777777" w:rsidR="003E157E" w:rsidRPr="003E157E" w:rsidRDefault="00BC5B1D" w:rsidP="003E157E">
            <w:pPr>
              <w:jc w:val="right"/>
              <w:rPr>
                <w:color w:val="000000"/>
              </w:rPr>
            </w:pPr>
            <w:r w:rsidRPr="003E157E">
              <w:rPr>
                <w:color w:val="000000"/>
              </w:rPr>
              <w:t>181</w:t>
            </w:r>
          </w:p>
        </w:tc>
      </w:tr>
      <w:tr w:rsidR="00937FCD" w14:paraId="5BBC9B20" w14:textId="77777777" w:rsidTr="003E157E">
        <w:trPr>
          <w:trHeight w:val="314"/>
        </w:trPr>
        <w:tc>
          <w:tcPr>
            <w:tcW w:w="7319" w:type="dxa"/>
            <w:tcBorders>
              <w:top w:val="nil"/>
              <w:left w:val="single" w:sz="8" w:space="0" w:color="auto"/>
              <w:bottom w:val="single" w:sz="8" w:space="0" w:color="auto"/>
              <w:right w:val="single" w:sz="8" w:space="0" w:color="auto"/>
            </w:tcBorders>
            <w:shd w:val="clear" w:color="auto" w:fill="auto"/>
            <w:noWrap/>
            <w:vAlign w:val="center"/>
            <w:hideMark/>
          </w:tcPr>
          <w:p w14:paraId="6ED14D70" w14:textId="77777777" w:rsidR="003E157E" w:rsidRPr="003E157E" w:rsidRDefault="00BC5B1D" w:rsidP="003E157E">
            <w:pPr>
              <w:rPr>
                <w:color w:val="000000"/>
              </w:rPr>
            </w:pPr>
            <w:r w:rsidRPr="003E157E">
              <w:rPr>
                <w:color w:val="000000"/>
              </w:rPr>
              <w:t>Local authority deposits</w:t>
            </w:r>
          </w:p>
        </w:tc>
        <w:tc>
          <w:tcPr>
            <w:tcW w:w="1539" w:type="dxa"/>
            <w:tcBorders>
              <w:top w:val="nil"/>
              <w:left w:val="nil"/>
              <w:bottom w:val="single" w:sz="8" w:space="0" w:color="auto"/>
              <w:right w:val="single" w:sz="8" w:space="0" w:color="auto"/>
            </w:tcBorders>
            <w:shd w:val="clear" w:color="auto" w:fill="auto"/>
            <w:noWrap/>
            <w:vAlign w:val="center"/>
            <w:hideMark/>
          </w:tcPr>
          <w:p w14:paraId="6E94C0FD" w14:textId="77777777" w:rsidR="003E157E" w:rsidRPr="003E157E" w:rsidRDefault="00BC5B1D" w:rsidP="003E157E">
            <w:pPr>
              <w:jc w:val="right"/>
              <w:rPr>
                <w:color w:val="000000"/>
              </w:rPr>
            </w:pPr>
            <w:r w:rsidRPr="003E157E">
              <w:rPr>
                <w:color w:val="000000"/>
              </w:rPr>
              <w:t>20</w:t>
            </w:r>
          </w:p>
        </w:tc>
      </w:tr>
      <w:tr w:rsidR="00937FCD" w14:paraId="7251F7A7" w14:textId="77777777" w:rsidTr="003E157E">
        <w:trPr>
          <w:trHeight w:val="314"/>
        </w:trPr>
        <w:tc>
          <w:tcPr>
            <w:tcW w:w="7319" w:type="dxa"/>
            <w:tcBorders>
              <w:top w:val="nil"/>
              <w:left w:val="single" w:sz="8" w:space="0" w:color="auto"/>
              <w:bottom w:val="single" w:sz="8" w:space="0" w:color="auto"/>
              <w:right w:val="single" w:sz="8" w:space="0" w:color="auto"/>
            </w:tcBorders>
            <w:shd w:val="clear" w:color="auto" w:fill="auto"/>
            <w:noWrap/>
            <w:vAlign w:val="center"/>
            <w:hideMark/>
          </w:tcPr>
          <w:p w14:paraId="6D980625" w14:textId="77777777" w:rsidR="003E157E" w:rsidRPr="003E157E" w:rsidRDefault="00BC5B1D" w:rsidP="003E157E">
            <w:pPr>
              <w:rPr>
                <w:color w:val="000000"/>
              </w:rPr>
            </w:pPr>
            <w:r w:rsidRPr="003E157E">
              <w:rPr>
                <w:color w:val="000000"/>
              </w:rPr>
              <w:t>Corporate Bonds</w:t>
            </w:r>
          </w:p>
        </w:tc>
        <w:tc>
          <w:tcPr>
            <w:tcW w:w="1539" w:type="dxa"/>
            <w:tcBorders>
              <w:top w:val="nil"/>
              <w:left w:val="nil"/>
              <w:bottom w:val="single" w:sz="8" w:space="0" w:color="auto"/>
              <w:right w:val="single" w:sz="8" w:space="0" w:color="auto"/>
            </w:tcBorders>
            <w:shd w:val="clear" w:color="auto" w:fill="auto"/>
            <w:noWrap/>
            <w:vAlign w:val="center"/>
            <w:hideMark/>
          </w:tcPr>
          <w:p w14:paraId="7C30AC61" w14:textId="77777777" w:rsidR="003E157E" w:rsidRPr="003E157E" w:rsidRDefault="00BC5B1D" w:rsidP="003E157E">
            <w:pPr>
              <w:jc w:val="right"/>
              <w:rPr>
                <w:color w:val="000000"/>
              </w:rPr>
            </w:pPr>
            <w:r>
              <w:rPr>
                <w:color w:val="000000"/>
              </w:rPr>
              <w:t>4</w:t>
            </w:r>
            <w:r w:rsidR="00E37208">
              <w:rPr>
                <w:color w:val="000000"/>
              </w:rPr>
              <w:t>4</w:t>
            </w:r>
            <w:r>
              <w:rPr>
                <w:color w:val="000000"/>
              </w:rPr>
              <w:t>9</w:t>
            </w:r>
          </w:p>
        </w:tc>
      </w:tr>
      <w:tr w:rsidR="00937FCD" w14:paraId="7D9A4342" w14:textId="77777777" w:rsidTr="003E157E">
        <w:trPr>
          <w:trHeight w:val="314"/>
        </w:trPr>
        <w:tc>
          <w:tcPr>
            <w:tcW w:w="7319" w:type="dxa"/>
            <w:tcBorders>
              <w:top w:val="nil"/>
              <w:left w:val="single" w:sz="8" w:space="0" w:color="auto"/>
              <w:bottom w:val="single" w:sz="8" w:space="0" w:color="auto"/>
              <w:right w:val="single" w:sz="8" w:space="0" w:color="auto"/>
            </w:tcBorders>
            <w:shd w:val="clear" w:color="auto" w:fill="auto"/>
            <w:noWrap/>
            <w:vAlign w:val="center"/>
            <w:hideMark/>
          </w:tcPr>
          <w:p w14:paraId="4D96A998" w14:textId="77777777" w:rsidR="003E157E" w:rsidRPr="003E157E" w:rsidRDefault="00BC5B1D" w:rsidP="003E157E">
            <w:pPr>
              <w:rPr>
                <w:color w:val="000000"/>
              </w:rPr>
            </w:pPr>
            <w:r w:rsidRPr="003E157E">
              <w:rPr>
                <w:color w:val="000000"/>
              </w:rPr>
              <w:t xml:space="preserve">Government, local government and supra-national bonds </w:t>
            </w:r>
          </w:p>
        </w:tc>
        <w:tc>
          <w:tcPr>
            <w:tcW w:w="1539" w:type="dxa"/>
            <w:tcBorders>
              <w:top w:val="nil"/>
              <w:left w:val="nil"/>
              <w:bottom w:val="single" w:sz="8" w:space="0" w:color="auto"/>
              <w:right w:val="single" w:sz="8" w:space="0" w:color="auto"/>
            </w:tcBorders>
            <w:shd w:val="clear" w:color="auto" w:fill="auto"/>
            <w:noWrap/>
            <w:vAlign w:val="center"/>
            <w:hideMark/>
          </w:tcPr>
          <w:p w14:paraId="27F503A9" w14:textId="77777777" w:rsidR="003E157E" w:rsidRPr="003E157E" w:rsidRDefault="00BC5B1D" w:rsidP="003E157E">
            <w:pPr>
              <w:jc w:val="right"/>
              <w:rPr>
                <w:color w:val="000000"/>
              </w:rPr>
            </w:pPr>
            <w:r>
              <w:rPr>
                <w:color w:val="000000"/>
              </w:rPr>
              <w:t>187</w:t>
            </w:r>
          </w:p>
        </w:tc>
      </w:tr>
      <w:tr w:rsidR="00937FCD" w14:paraId="32163E02" w14:textId="77777777" w:rsidTr="003E157E">
        <w:trPr>
          <w:trHeight w:val="314"/>
        </w:trPr>
        <w:tc>
          <w:tcPr>
            <w:tcW w:w="7319" w:type="dxa"/>
            <w:tcBorders>
              <w:top w:val="nil"/>
              <w:left w:val="single" w:sz="8" w:space="0" w:color="auto"/>
              <w:bottom w:val="single" w:sz="8" w:space="0" w:color="auto"/>
              <w:right w:val="single" w:sz="8" w:space="0" w:color="auto"/>
            </w:tcBorders>
            <w:shd w:val="clear" w:color="000000" w:fill="DBE5F1"/>
            <w:noWrap/>
            <w:vAlign w:val="center"/>
            <w:hideMark/>
          </w:tcPr>
          <w:p w14:paraId="22132527" w14:textId="77777777" w:rsidR="003E157E" w:rsidRPr="00F81FB6" w:rsidRDefault="00BC5B1D" w:rsidP="003E157E">
            <w:pPr>
              <w:rPr>
                <w:b/>
                <w:bCs/>
                <w:color w:val="000000"/>
              </w:rPr>
            </w:pPr>
            <w:r w:rsidRPr="00F81FB6">
              <w:rPr>
                <w:b/>
                <w:bCs/>
                <w:color w:val="000000"/>
              </w:rPr>
              <w:t>Total Investments</w:t>
            </w:r>
          </w:p>
        </w:tc>
        <w:tc>
          <w:tcPr>
            <w:tcW w:w="1539" w:type="dxa"/>
            <w:tcBorders>
              <w:top w:val="nil"/>
              <w:left w:val="nil"/>
              <w:bottom w:val="single" w:sz="8" w:space="0" w:color="auto"/>
              <w:right w:val="single" w:sz="8" w:space="0" w:color="auto"/>
            </w:tcBorders>
            <w:shd w:val="clear" w:color="000000" w:fill="DBE5F1"/>
            <w:noWrap/>
            <w:vAlign w:val="center"/>
            <w:hideMark/>
          </w:tcPr>
          <w:p w14:paraId="53850B7B" w14:textId="77777777" w:rsidR="003E157E" w:rsidRPr="00F81FB6" w:rsidRDefault="00BC5B1D" w:rsidP="003E157E">
            <w:pPr>
              <w:jc w:val="right"/>
              <w:rPr>
                <w:b/>
                <w:bCs/>
                <w:color w:val="000000"/>
              </w:rPr>
            </w:pPr>
            <w:r w:rsidRPr="00F81FB6">
              <w:rPr>
                <w:b/>
                <w:bCs/>
                <w:color w:val="000000"/>
              </w:rPr>
              <w:t>8</w:t>
            </w:r>
            <w:r w:rsidR="00E37208">
              <w:rPr>
                <w:b/>
                <w:bCs/>
                <w:color w:val="000000"/>
              </w:rPr>
              <w:t>3</w:t>
            </w:r>
            <w:r w:rsidR="00C248F1">
              <w:rPr>
                <w:b/>
                <w:bCs/>
                <w:color w:val="000000"/>
              </w:rPr>
              <w:t>7</w:t>
            </w:r>
          </w:p>
        </w:tc>
      </w:tr>
      <w:tr w:rsidR="00937FCD" w14:paraId="51138777" w14:textId="77777777" w:rsidTr="003E157E">
        <w:trPr>
          <w:trHeight w:val="314"/>
        </w:trPr>
        <w:tc>
          <w:tcPr>
            <w:tcW w:w="7319" w:type="dxa"/>
            <w:tcBorders>
              <w:top w:val="nil"/>
              <w:left w:val="single" w:sz="8" w:space="0" w:color="auto"/>
              <w:bottom w:val="single" w:sz="8" w:space="0" w:color="auto"/>
              <w:right w:val="single" w:sz="8" w:space="0" w:color="auto"/>
            </w:tcBorders>
            <w:shd w:val="clear" w:color="auto" w:fill="auto"/>
            <w:noWrap/>
            <w:vAlign w:val="center"/>
            <w:hideMark/>
          </w:tcPr>
          <w:p w14:paraId="1A55A1C7" w14:textId="77777777" w:rsidR="003E157E" w:rsidRPr="003E157E" w:rsidRDefault="00BC5B1D" w:rsidP="003E157E">
            <w:pPr>
              <w:rPr>
                <w:color w:val="000000"/>
              </w:rPr>
            </w:pPr>
            <w:r w:rsidRPr="003E157E">
              <w:rPr>
                <w:color w:val="000000"/>
              </w:rPr>
              <w:t>Short term loans</w:t>
            </w:r>
          </w:p>
        </w:tc>
        <w:tc>
          <w:tcPr>
            <w:tcW w:w="1539" w:type="dxa"/>
            <w:tcBorders>
              <w:top w:val="nil"/>
              <w:left w:val="nil"/>
              <w:bottom w:val="single" w:sz="8" w:space="0" w:color="auto"/>
              <w:right w:val="single" w:sz="8" w:space="0" w:color="auto"/>
            </w:tcBorders>
            <w:shd w:val="clear" w:color="auto" w:fill="auto"/>
            <w:noWrap/>
            <w:vAlign w:val="center"/>
            <w:hideMark/>
          </w:tcPr>
          <w:p w14:paraId="622C1AF8" w14:textId="77777777" w:rsidR="003E157E" w:rsidRPr="003E157E" w:rsidRDefault="00BC5B1D" w:rsidP="003E157E">
            <w:pPr>
              <w:jc w:val="right"/>
              <w:rPr>
                <w:color w:val="000000"/>
              </w:rPr>
            </w:pPr>
            <w:r w:rsidRPr="003E157E">
              <w:rPr>
                <w:color w:val="000000"/>
              </w:rPr>
              <w:t>240</w:t>
            </w:r>
          </w:p>
        </w:tc>
      </w:tr>
      <w:tr w:rsidR="00937FCD" w14:paraId="0B6F90CB" w14:textId="77777777" w:rsidTr="003E157E">
        <w:trPr>
          <w:trHeight w:val="314"/>
        </w:trPr>
        <w:tc>
          <w:tcPr>
            <w:tcW w:w="7319" w:type="dxa"/>
            <w:tcBorders>
              <w:top w:val="nil"/>
              <w:left w:val="single" w:sz="8" w:space="0" w:color="auto"/>
              <w:bottom w:val="single" w:sz="8" w:space="0" w:color="auto"/>
              <w:right w:val="single" w:sz="8" w:space="0" w:color="auto"/>
            </w:tcBorders>
            <w:shd w:val="clear" w:color="auto" w:fill="auto"/>
            <w:noWrap/>
            <w:vAlign w:val="center"/>
            <w:hideMark/>
          </w:tcPr>
          <w:p w14:paraId="7540C53B" w14:textId="77777777" w:rsidR="003E157E" w:rsidRPr="003E157E" w:rsidRDefault="00BC5B1D" w:rsidP="003E157E">
            <w:pPr>
              <w:rPr>
                <w:color w:val="000000"/>
              </w:rPr>
            </w:pPr>
            <w:r w:rsidRPr="003E157E">
              <w:rPr>
                <w:color w:val="000000"/>
              </w:rPr>
              <w:t>Shared investment scheme</w:t>
            </w:r>
          </w:p>
        </w:tc>
        <w:tc>
          <w:tcPr>
            <w:tcW w:w="1539" w:type="dxa"/>
            <w:tcBorders>
              <w:top w:val="nil"/>
              <w:left w:val="nil"/>
              <w:bottom w:val="single" w:sz="8" w:space="0" w:color="auto"/>
              <w:right w:val="single" w:sz="8" w:space="0" w:color="auto"/>
            </w:tcBorders>
            <w:shd w:val="clear" w:color="auto" w:fill="auto"/>
            <w:noWrap/>
            <w:vAlign w:val="center"/>
            <w:hideMark/>
          </w:tcPr>
          <w:p w14:paraId="50DB62F1" w14:textId="77777777" w:rsidR="003E157E" w:rsidRPr="003E157E" w:rsidRDefault="00BC5B1D" w:rsidP="003E157E">
            <w:pPr>
              <w:jc w:val="right"/>
              <w:rPr>
                <w:color w:val="000000"/>
              </w:rPr>
            </w:pPr>
            <w:r w:rsidRPr="003E157E">
              <w:rPr>
                <w:color w:val="000000"/>
              </w:rPr>
              <w:t>92</w:t>
            </w:r>
          </w:p>
        </w:tc>
      </w:tr>
      <w:tr w:rsidR="00937FCD" w14:paraId="23FAB0EF" w14:textId="77777777" w:rsidTr="003E157E">
        <w:trPr>
          <w:trHeight w:val="314"/>
        </w:trPr>
        <w:tc>
          <w:tcPr>
            <w:tcW w:w="7319" w:type="dxa"/>
            <w:tcBorders>
              <w:top w:val="nil"/>
              <w:left w:val="single" w:sz="8" w:space="0" w:color="auto"/>
              <w:bottom w:val="single" w:sz="8" w:space="0" w:color="auto"/>
              <w:right w:val="single" w:sz="8" w:space="0" w:color="auto"/>
            </w:tcBorders>
            <w:shd w:val="clear" w:color="auto" w:fill="auto"/>
            <w:noWrap/>
            <w:vAlign w:val="center"/>
            <w:hideMark/>
          </w:tcPr>
          <w:p w14:paraId="52127C09" w14:textId="77777777" w:rsidR="003E157E" w:rsidRPr="003E157E" w:rsidRDefault="00BC5B1D" w:rsidP="003E157E">
            <w:pPr>
              <w:rPr>
                <w:color w:val="000000"/>
              </w:rPr>
            </w:pPr>
            <w:r w:rsidRPr="003E157E">
              <w:rPr>
                <w:color w:val="000000"/>
              </w:rPr>
              <w:t>Long term loans - local authorities</w:t>
            </w:r>
          </w:p>
        </w:tc>
        <w:tc>
          <w:tcPr>
            <w:tcW w:w="1539" w:type="dxa"/>
            <w:tcBorders>
              <w:top w:val="nil"/>
              <w:left w:val="nil"/>
              <w:bottom w:val="single" w:sz="8" w:space="0" w:color="auto"/>
              <w:right w:val="single" w:sz="8" w:space="0" w:color="auto"/>
            </w:tcBorders>
            <w:shd w:val="clear" w:color="auto" w:fill="auto"/>
            <w:noWrap/>
            <w:vAlign w:val="center"/>
            <w:hideMark/>
          </w:tcPr>
          <w:p w14:paraId="2A2D3944" w14:textId="77777777" w:rsidR="003E157E" w:rsidRPr="003E157E" w:rsidRDefault="00BC5B1D" w:rsidP="003E157E">
            <w:pPr>
              <w:jc w:val="right"/>
              <w:rPr>
                <w:color w:val="000000"/>
              </w:rPr>
            </w:pPr>
            <w:r w:rsidRPr="003E157E">
              <w:rPr>
                <w:color w:val="000000"/>
              </w:rPr>
              <w:t>15</w:t>
            </w:r>
          </w:p>
        </w:tc>
      </w:tr>
      <w:tr w:rsidR="00937FCD" w14:paraId="502779C6" w14:textId="77777777" w:rsidTr="003E157E">
        <w:trPr>
          <w:trHeight w:val="314"/>
        </w:trPr>
        <w:tc>
          <w:tcPr>
            <w:tcW w:w="7319" w:type="dxa"/>
            <w:tcBorders>
              <w:top w:val="nil"/>
              <w:left w:val="single" w:sz="8" w:space="0" w:color="auto"/>
              <w:bottom w:val="single" w:sz="8" w:space="0" w:color="auto"/>
              <w:right w:val="single" w:sz="8" w:space="0" w:color="auto"/>
            </w:tcBorders>
            <w:shd w:val="clear" w:color="auto" w:fill="auto"/>
            <w:noWrap/>
            <w:vAlign w:val="center"/>
            <w:hideMark/>
          </w:tcPr>
          <w:p w14:paraId="63628262" w14:textId="77777777" w:rsidR="003E157E" w:rsidRPr="003E157E" w:rsidRDefault="00BC5B1D" w:rsidP="003E157E">
            <w:pPr>
              <w:rPr>
                <w:color w:val="000000"/>
              </w:rPr>
            </w:pPr>
            <w:r w:rsidRPr="003E157E">
              <w:rPr>
                <w:color w:val="000000"/>
              </w:rPr>
              <w:t xml:space="preserve">Long Term Bonds </w:t>
            </w:r>
          </w:p>
        </w:tc>
        <w:tc>
          <w:tcPr>
            <w:tcW w:w="1539" w:type="dxa"/>
            <w:tcBorders>
              <w:top w:val="nil"/>
              <w:left w:val="nil"/>
              <w:bottom w:val="single" w:sz="8" w:space="0" w:color="auto"/>
              <w:right w:val="single" w:sz="8" w:space="0" w:color="auto"/>
            </w:tcBorders>
            <w:shd w:val="clear" w:color="auto" w:fill="auto"/>
            <w:noWrap/>
            <w:vAlign w:val="center"/>
            <w:hideMark/>
          </w:tcPr>
          <w:p w14:paraId="5530E755" w14:textId="77777777" w:rsidR="003E157E" w:rsidRPr="003E157E" w:rsidRDefault="00BC5B1D" w:rsidP="003E157E">
            <w:pPr>
              <w:jc w:val="right"/>
              <w:rPr>
                <w:color w:val="000000"/>
              </w:rPr>
            </w:pPr>
            <w:r w:rsidRPr="003E157E">
              <w:rPr>
                <w:color w:val="000000"/>
              </w:rPr>
              <w:t>600</w:t>
            </w:r>
          </w:p>
        </w:tc>
      </w:tr>
      <w:tr w:rsidR="00937FCD" w14:paraId="71594EB3" w14:textId="77777777" w:rsidTr="003E157E">
        <w:trPr>
          <w:trHeight w:val="314"/>
        </w:trPr>
        <w:tc>
          <w:tcPr>
            <w:tcW w:w="7319" w:type="dxa"/>
            <w:tcBorders>
              <w:top w:val="nil"/>
              <w:left w:val="single" w:sz="8" w:space="0" w:color="auto"/>
              <w:bottom w:val="single" w:sz="8" w:space="0" w:color="auto"/>
              <w:right w:val="single" w:sz="8" w:space="0" w:color="auto"/>
            </w:tcBorders>
            <w:shd w:val="clear" w:color="auto" w:fill="auto"/>
            <w:noWrap/>
            <w:vAlign w:val="center"/>
            <w:hideMark/>
          </w:tcPr>
          <w:p w14:paraId="15778F3A" w14:textId="77777777" w:rsidR="003E157E" w:rsidRPr="003E157E" w:rsidRDefault="00BC5B1D" w:rsidP="003E157E">
            <w:pPr>
              <w:rPr>
                <w:color w:val="000000"/>
              </w:rPr>
            </w:pPr>
            <w:r w:rsidRPr="003E157E">
              <w:rPr>
                <w:color w:val="000000"/>
              </w:rPr>
              <w:t xml:space="preserve">Long term loans - PWLB </w:t>
            </w:r>
          </w:p>
        </w:tc>
        <w:tc>
          <w:tcPr>
            <w:tcW w:w="1539" w:type="dxa"/>
            <w:tcBorders>
              <w:top w:val="nil"/>
              <w:left w:val="nil"/>
              <w:bottom w:val="single" w:sz="8" w:space="0" w:color="auto"/>
              <w:right w:val="single" w:sz="8" w:space="0" w:color="auto"/>
            </w:tcBorders>
            <w:shd w:val="clear" w:color="auto" w:fill="auto"/>
            <w:noWrap/>
            <w:vAlign w:val="center"/>
            <w:hideMark/>
          </w:tcPr>
          <w:p w14:paraId="26BE65EF" w14:textId="77777777" w:rsidR="003E157E" w:rsidRPr="003E157E" w:rsidRDefault="00BC5B1D" w:rsidP="003E157E">
            <w:pPr>
              <w:jc w:val="right"/>
              <w:rPr>
                <w:color w:val="000000"/>
              </w:rPr>
            </w:pPr>
            <w:r w:rsidRPr="003E157E">
              <w:rPr>
                <w:color w:val="000000"/>
              </w:rPr>
              <w:t>285</w:t>
            </w:r>
          </w:p>
        </w:tc>
      </w:tr>
      <w:tr w:rsidR="00937FCD" w14:paraId="271782B7" w14:textId="77777777" w:rsidTr="003E157E">
        <w:trPr>
          <w:trHeight w:val="314"/>
        </w:trPr>
        <w:tc>
          <w:tcPr>
            <w:tcW w:w="7319" w:type="dxa"/>
            <w:tcBorders>
              <w:top w:val="nil"/>
              <w:left w:val="single" w:sz="8" w:space="0" w:color="auto"/>
              <w:bottom w:val="single" w:sz="8" w:space="0" w:color="auto"/>
              <w:right w:val="single" w:sz="8" w:space="0" w:color="auto"/>
            </w:tcBorders>
            <w:shd w:val="clear" w:color="000000" w:fill="DBE5F1"/>
            <w:noWrap/>
            <w:vAlign w:val="center"/>
            <w:hideMark/>
          </w:tcPr>
          <w:p w14:paraId="0A2D10CF" w14:textId="77777777" w:rsidR="003E157E" w:rsidRPr="00F81FB6" w:rsidRDefault="00BC5B1D" w:rsidP="003E157E">
            <w:pPr>
              <w:rPr>
                <w:b/>
                <w:bCs/>
                <w:color w:val="000000"/>
              </w:rPr>
            </w:pPr>
            <w:r w:rsidRPr="00F81FB6">
              <w:rPr>
                <w:b/>
                <w:bCs/>
                <w:color w:val="000000"/>
              </w:rPr>
              <w:t>Total Borrowing</w:t>
            </w:r>
          </w:p>
        </w:tc>
        <w:tc>
          <w:tcPr>
            <w:tcW w:w="1539" w:type="dxa"/>
            <w:tcBorders>
              <w:top w:val="nil"/>
              <w:left w:val="nil"/>
              <w:bottom w:val="single" w:sz="8" w:space="0" w:color="auto"/>
              <w:right w:val="single" w:sz="8" w:space="0" w:color="auto"/>
            </w:tcBorders>
            <w:shd w:val="clear" w:color="000000" w:fill="DBE5F1"/>
            <w:noWrap/>
            <w:vAlign w:val="center"/>
            <w:hideMark/>
          </w:tcPr>
          <w:p w14:paraId="7DEA7856" w14:textId="77777777" w:rsidR="003E157E" w:rsidRPr="00F81FB6" w:rsidRDefault="00BC5B1D" w:rsidP="003E157E">
            <w:pPr>
              <w:jc w:val="right"/>
              <w:rPr>
                <w:b/>
                <w:bCs/>
                <w:color w:val="000000"/>
              </w:rPr>
            </w:pPr>
            <w:r w:rsidRPr="00F81FB6">
              <w:rPr>
                <w:b/>
                <w:bCs/>
                <w:color w:val="000000"/>
              </w:rPr>
              <w:t>1,232</w:t>
            </w:r>
          </w:p>
        </w:tc>
      </w:tr>
      <w:tr w:rsidR="00937FCD" w14:paraId="48F4187F" w14:textId="77777777" w:rsidTr="003E157E">
        <w:trPr>
          <w:trHeight w:val="314"/>
        </w:trPr>
        <w:tc>
          <w:tcPr>
            <w:tcW w:w="7319" w:type="dxa"/>
            <w:tcBorders>
              <w:top w:val="nil"/>
              <w:left w:val="single" w:sz="8" w:space="0" w:color="auto"/>
              <w:bottom w:val="single" w:sz="8" w:space="0" w:color="auto"/>
              <w:right w:val="single" w:sz="8" w:space="0" w:color="auto"/>
            </w:tcBorders>
            <w:shd w:val="clear" w:color="000000" w:fill="DBE5F1"/>
            <w:noWrap/>
            <w:vAlign w:val="center"/>
            <w:hideMark/>
          </w:tcPr>
          <w:p w14:paraId="4BFE698A" w14:textId="77777777" w:rsidR="003E157E" w:rsidRPr="00F81FB6" w:rsidRDefault="00BC5B1D" w:rsidP="003E157E">
            <w:pPr>
              <w:rPr>
                <w:b/>
                <w:bCs/>
                <w:color w:val="000000"/>
              </w:rPr>
            </w:pPr>
            <w:r w:rsidRPr="00F81FB6">
              <w:rPr>
                <w:b/>
                <w:bCs/>
                <w:color w:val="000000"/>
              </w:rPr>
              <w:t xml:space="preserve">Net Borrowing </w:t>
            </w:r>
          </w:p>
        </w:tc>
        <w:tc>
          <w:tcPr>
            <w:tcW w:w="1539" w:type="dxa"/>
            <w:tcBorders>
              <w:top w:val="nil"/>
              <w:left w:val="nil"/>
              <w:bottom w:val="single" w:sz="8" w:space="0" w:color="auto"/>
              <w:right w:val="single" w:sz="8" w:space="0" w:color="auto"/>
            </w:tcBorders>
            <w:shd w:val="clear" w:color="000000" w:fill="DBE5F1"/>
            <w:noWrap/>
            <w:vAlign w:val="center"/>
            <w:hideMark/>
          </w:tcPr>
          <w:p w14:paraId="7A23C2C6" w14:textId="77777777" w:rsidR="003E157E" w:rsidRPr="00F81FB6" w:rsidRDefault="00BC5B1D" w:rsidP="003E157E">
            <w:pPr>
              <w:jc w:val="right"/>
              <w:rPr>
                <w:b/>
                <w:bCs/>
                <w:color w:val="000000"/>
              </w:rPr>
            </w:pPr>
            <w:r w:rsidRPr="00F81FB6">
              <w:rPr>
                <w:b/>
                <w:bCs/>
                <w:color w:val="000000"/>
              </w:rPr>
              <w:t>3</w:t>
            </w:r>
            <w:r w:rsidR="00E37208">
              <w:rPr>
                <w:b/>
                <w:bCs/>
                <w:color w:val="000000"/>
              </w:rPr>
              <w:t>9</w:t>
            </w:r>
            <w:r w:rsidRPr="00F81FB6">
              <w:rPr>
                <w:b/>
                <w:bCs/>
                <w:color w:val="000000"/>
              </w:rPr>
              <w:t>5</w:t>
            </w:r>
          </w:p>
        </w:tc>
      </w:tr>
    </w:tbl>
    <w:p w14:paraId="575C8FA2" w14:textId="77777777" w:rsidR="00BE7266" w:rsidRPr="00044115" w:rsidRDefault="00BE7266" w:rsidP="00C742C9">
      <w:pPr>
        <w:jc w:val="both"/>
        <w:rPr>
          <w:highlight w:val="green"/>
        </w:rPr>
      </w:pPr>
    </w:p>
    <w:p w14:paraId="14FF2F58" w14:textId="77777777" w:rsidR="00C742C9" w:rsidRPr="003E157E" w:rsidRDefault="00BC5B1D" w:rsidP="00C742C9">
      <w:pPr>
        <w:jc w:val="both"/>
        <w:rPr>
          <w:b/>
          <w:bCs/>
        </w:rPr>
      </w:pPr>
      <w:r w:rsidRPr="003E157E">
        <w:rPr>
          <w:b/>
          <w:bCs/>
        </w:rPr>
        <w:t>Estimates of future borrowing and investment requirements</w:t>
      </w:r>
    </w:p>
    <w:p w14:paraId="1CC7EF41" w14:textId="77777777" w:rsidR="00C742C9" w:rsidRPr="003E157E" w:rsidRDefault="00C742C9" w:rsidP="00C742C9">
      <w:pPr>
        <w:jc w:val="both"/>
        <w:rPr>
          <w:bCs/>
        </w:rPr>
      </w:pPr>
    </w:p>
    <w:p w14:paraId="3D325180" w14:textId="77777777" w:rsidR="00C742C9" w:rsidRPr="003E157E" w:rsidRDefault="00BC5B1D" w:rsidP="00C742C9">
      <w:pPr>
        <w:jc w:val="both"/>
        <w:rPr>
          <w:bCs/>
        </w:rPr>
      </w:pPr>
      <w:r w:rsidRPr="003E157E">
        <w:rPr>
          <w:bCs/>
        </w:rPr>
        <w:t xml:space="preserve">In the medium term </w:t>
      </w:r>
      <w:r w:rsidR="001C74FE" w:rsidRPr="003E157E">
        <w:rPr>
          <w:bCs/>
        </w:rPr>
        <w:t>CIPFA's</w:t>
      </w:r>
      <w:r w:rsidRPr="003E157E">
        <w:rPr>
          <w:bCs/>
        </w:rPr>
        <w:t xml:space="preserve"> </w:t>
      </w:r>
      <w:r w:rsidR="001C74FE" w:rsidRPr="003E157E">
        <w:rPr>
          <w:bCs/>
        </w:rPr>
        <w:t>P</w:t>
      </w:r>
      <w:r w:rsidRPr="003E157E">
        <w:rPr>
          <w:bCs/>
        </w:rPr>
        <w:t xml:space="preserve">rudential </w:t>
      </w:r>
      <w:r w:rsidR="001C74FE" w:rsidRPr="003E157E">
        <w:rPr>
          <w:bCs/>
        </w:rPr>
        <w:t>C</w:t>
      </w:r>
      <w:r w:rsidRPr="003E157E">
        <w:rPr>
          <w:bCs/>
        </w:rPr>
        <w:t xml:space="preserve">ode requires that the council's borrowing adjusted for transferred debt is for capital purposes only. The underlying need to borrow for capital purposes is measured by the </w:t>
      </w:r>
      <w:r w:rsidR="00735451" w:rsidRPr="003E157E">
        <w:rPr>
          <w:bCs/>
        </w:rPr>
        <w:t>c</w:t>
      </w:r>
      <w:r w:rsidRPr="003E157E">
        <w:rPr>
          <w:bCs/>
        </w:rPr>
        <w:t xml:space="preserve">apital </w:t>
      </w:r>
      <w:r w:rsidR="00735451" w:rsidRPr="003E157E">
        <w:rPr>
          <w:bCs/>
        </w:rPr>
        <w:t>f</w:t>
      </w:r>
      <w:r w:rsidRPr="003E157E">
        <w:rPr>
          <w:bCs/>
        </w:rPr>
        <w:t xml:space="preserve">inancing </w:t>
      </w:r>
      <w:r w:rsidR="00735451" w:rsidRPr="003E157E">
        <w:rPr>
          <w:bCs/>
        </w:rPr>
        <w:t>r</w:t>
      </w:r>
      <w:r w:rsidR="006D1274" w:rsidRPr="003E157E">
        <w:rPr>
          <w:bCs/>
        </w:rPr>
        <w:t>equirement</w:t>
      </w:r>
      <w:r w:rsidRPr="003E157E">
        <w:rPr>
          <w:bCs/>
        </w:rPr>
        <w:t>, while usable reserves and working capital are the und</w:t>
      </w:r>
      <w:r w:rsidRPr="003E157E">
        <w:rPr>
          <w:bCs/>
        </w:rPr>
        <w:t xml:space="preserve">erlying resources available for investment. The following table compares the estimated </w:t>
      </w:r>
      <w:r w:rsidR="006D1274" w:rsidRPr="003E157E">
        <w:rPr>
          <w:bCs/>
        </w:rPr>
        <w:t>capital financing requirement</w:t>
      </w:r>
      <w:r w:rsidRPr="003E157E">
        <w:rPr>
          <w:bCs/>
        </w:rPr>
        <w:t xml:space="preserve"> to t</w:t>
      </w:r>
      <w:r w:rsidR="005B3783" w:rsidRPr="003E157E">
        <w:rPr>
          <w:bCs/>
        </w:rPr>
        <w:t>he borrowing at 30 November 202</w:t>
      </w:r>
      <w:r w:rsidR="003E157E">
        <w:rPr>
          <w:bCs/>
        </w:rPr>
        <w:t>1</w:t>
      </w:r>
      <w:r w:rsidRPr="003E157E">
        <w:rPr>
          <w:bCs/>
        </w:rPr>
        <w:t xml:space="preserve">. This gives an indication of the borrowing required and the resources available for investment. </w:t>
      </w:r>
    </w:p>
    <w:p w14:paraId="4E6D80E1" w14:textId="77777777" w:rsidR="00C742C9" w:rsidRPr="003E157E" w:rsidRDefault="00C742C9" w:rsidP="00C742C9">
      <w:pPr>
        <w:jc w:val="both"/>
        <w:rPr>
          <w:bCs/>
        </w:rPr>
      </w:pPr>
    </w:p>
    <w:p w14:paraId="59F6085C" w14:textId="77777777" w:rsidR="00C742C9" w:rsidRDefault="00BC5B1D" w:rsidP="00C742C9">
      <w:pPr>
        <w:jc w:val="both"/>
        <w:rPr>
          <w:bCs/>
          <w:highlight w:val="green"/>
        </w:rPr>
      </w:pPr>
      <w:r w:rsidRPr="003E157E">
        <w:rPr>
          <w:bCs/>
        </w:rPr>
        <w:t xml:space="preserve">The </w:t>
      </w:r>
      <w:r w:rsidR="006D1274" w:rsidRPr="003E157E">
        <w:rPr>
          <w:bCs/>
        </w:rPr>
        <w:t>capital financing requirement</w:t>
      </w:r>
      <w:r w:rsidRPr="003E157E">
        <w:rPr>
          <w:bCs/>
        </w:rPr>
        <w:t xml:space="preserve"> forecast assumes a </w:t>
      </w:r>
      <w:r w:rsidR="00B45251" w:rsidRPr="003E157E">
        <w:rPr>
          <w:bCs/>
        </w:rPr>
        <w:t>c</w:t>
      </w:r>
      <w:r w:rsidRPr="003E157E">
        <w:rPr>
          <w:bCs/>
        </w:rPr>
        <w:t xml:space="preserve">apital </w:t>
      </w:r>
      <w:r w:rsidR="00B45251" w:rsidRPr="003E157E">
        <w:rPr>
          <w:bCs/>
        </w:rPr>
        <w:t>p</w:t>
      </w:r>
      <w:r w:rsidRPr="003E157E">
        <w:rPr>
          <w:bCs/>
        </w:rPr>
        <w:t>rogramme which includes borrowing of £</w:t>
      </w:r>
      <w:r w:rsidR="003E157E">
        <w:rPr>
          <w:bCs/>
        </w:rPr>
        <w:t>83</w:t>
      </w:r>
      <w:r w:rsidR="005B3783" w:rsidRPr="003E157E">
        <w:rPr>
          <w:bCs/>
        </w:rPr>
        <w:t xml:space="preserve">m </w:t>
      </w:r>
      <w:r w:rsidR="003E157E">
        <w:rPr>
          <w:bCs/>
        </w:rPr>
        <w:t xml:space="preserve">in 2022/23 and then £50m </w:t>
      </w:r>
      <w:r w:rsidR="005B3783" w:rsidRPr="003E157E">
        <w:rPr>
          <w:bCs/>
        </w:rPr>
        <w:t>in each of years 202</w:t>
      </w:r>
      <w:r w:rsidR="003E157E">
        <w:rPr>
          <w:bCs/>
        </w:rPr>
        <w:t>3</w:t>
      </w:r>
      <w:r w:rsidR="005B3783" w:rsidRPr="003E157E">
        <w:rPr>
          <w:bCs/>
        </w:rPr>
        <w:t>/2</w:t>
      </w:r>
      <w:r w:rsidR="003E157E">
        <w:rPr>
          <w:bCs/>
        </w:rPr>
        <w:t>4</w:t>
      </w:r>
      <w:r w:rsidRPr="003E157E">
        <w:rPr>
          <w:bCs/>
        </w:rPr>
        <w:t xml:space="preserve"> to 202</w:t>
      </w:r>
      <w:r w:rsidR="003E157E">
        <w:rPr>
          <w:bCs/>
        </w:rPr>
        <w:t>4</w:t>
      </w:r>
      <w:r w:rsidR="005B3783" w:rsidRPr="003E157E">
        <w:rPr>
          <w:bCs/>
        </w:rPr>
        <w:t>/2</w:t>
      </w:r>
      <w:r w:rsidR="003E157E">
        <w:rPr>
          <w:bCs/>
        </w:rPr>
        <w:t>5</w:t>
      </w:r>
      <w:r w:rsidRPr="003E157E">
        <w:rPr>
          <w:bCs/>
        </w:rPr>
        <w:t>. Clearly, this will be subject to change as the capital programme develops.</w:t>
      </w:r>
    </w:p>
    <w:p w14:paraId="4EAB9C58" w14:textId="77777777" w:rsidR="00C4654D" w:rsidRPr="00044115" w:rsidRDefault="00C4654D" w:rsidP="00C742C9">
      <w:pPr>
        <w:jc w:val="both"/>
        <w:rPr>
          <w:bCs/>
          <w:highlight w:val="green"/>
        </w:rPr>
      </w:pPr>
    </w:p>
    <w:tbl>
      <w:tblPr>
        <w:tblW w:w="9488" w:type="dxa"/>
        <w:tblLook w:val="04A0" w:firstRow="1" w:lastRow="0" w:firstColumn="1" w:lastColumn="0" w:noHBand="0" w:noVBand="1"/>
      </w:tblPr>
      <w:tblGrid>
        <w:gridCol w:w="3628"/>
        <w:gridCol w:w="1418"/>
        <w:gridCol w:w="1606"/>
        <w:gridCol w:w="1418"/>
        <w:gridCol w:w="1418"/>
      </w:tblGrid>
      <w:tr w:rsidR="00937FCD" w14:paraId="18043502" w14:textId="77777777" w:rsidTr="00C248F1">
        <w:trPr>
          <w:trHeight w:val="315"/>
        </w:trPr>
        <w:tc>
          <w:tcPr>
            <w:tcW w:w="37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99BD87" w14:textId="77777777" w:rsidR="00DE69C4" w:rsidRPr="00DE69C4" w:rsidRDefault="00BC5B1D" w:rsidP="00DE69C4">
            <w:pPr>
              <w:jc w:val="both"/>
              <w:rPr>
                <w:color w:val="000000"/>
              </w:rPr>
            </w:pPr>
            <w:r w:rsidRPr="00DE69C4">
              <w:rPr>
                <w:bCs/>
                <w:color w:val="000000"/>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D08AA8D" w14:textId="77777777" w:rsidR="00DE69C4" w:rsidRPr="00DE69C4" w:rsidRDefault="00BC5B1D" w:rsidP="00DE69C4">
            <w:pPr>
              <w:jc w:val="center"/>
              <w:rPr>
                <w:color w:val="000000"/>
              </w:rPr>
            </w:pPr>
            <w:r w:rsidRPr="00DE69C4">
              <w:rPr>
                <w:bCs/>
                <w:color w:val="000000"/>
              </w:rPr>
              <w:t>31/03/2022</w:t>
            </w:r>
          </w:p>
        </w:tc>
        <w:tc>
          <w:tcPr>
            <w:tcW w:w="1619" w:type="dxa"/>
            <w:tcBorders>
              <w:top w:val="single" w:sz="8" w:space="0" w:color="auto"/>
              <w:left w:val="nil"/>
              <w:bottom w:val="single" w:sz="8" w:space="0" w:color="auto"/>
              <w:right w:val="single" w:sz="8" w:space="0" w:color="auto"/>
            </w:tcBorders>
            <w:shd w:val="clear" w:color="auto" w:fill="auto"/>
            <w:vAlign w:val="center"/>
            <w:hideMark/>
          </w:tcPr>
          <w:p w14:paraId="4083BA24" w14:textId="77777777" w:rsidR="00DE69C4" w:rsidRPr="00DE69C4" w:rsidRDefault="00BC5B1D" w:rsidP="00DE69C4">
            <w:pPr>
              <w:jc w:val="center"/>
              <w:rPr>
                <w:color w:val="000000"/>
              </w:rPr>
            </w:pPr>
            <w:r w:rsidRPr="00DE69C4">
              <w:rPr>
                <w:bCs/>
                <w:color w:val="000000"/>
              </w:rPr>
              <w:t>31/03/2023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1888C588" w14:textId="77777777" w:rsidR="00DE69C4" w:rsidRPr="00DE69C4" w:rsidRDefault="00BC5B1D" w:rsidP="00DE69C4">
            <w:pPr>
              <w:jc w:val="center"/>
              <w:rPr>
                <w:color w:val="000000"/>
              </w:rPr>
            </w:pPr>
            <w:r w:rsidRPr="00DE69C4">
              <w:rPr>
                <w:bCs/>
                <w:color w:val="000000"/>
              </w:rPr>
              <w:t>31/03/2024</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20EACB3" w14:textId="77777777" w:rsidR="00DE69C4" w:rsidRPr="00DE69C4" w:rsidRDefault="00BC5B1D" w:rsidP="00DE69C4">
            <w:pPr>
              <w:jc w:val="center"/>
              <w:rPr>
                <w:color w:val="000000"/>
              </w:rPr>
            </w:pPr>
            <w:r w:rsidRPr="00DE69C4">
              <w:rPr>
                <w:bCs/>
                <w:color w:val="000000"/>
              </w:rPr>
              <w:t>31/03/2025</w:t>
            </w:r>
          </w:p>
        </w:tc>
      </w:tr>
      <w:tr w:rsidR="00937FCD" w14:paraId="6F334F39" w14:textId="77777777" w:rsidTr="00C248F1">
        <w:trPr>
          <w:trHeight w:val="615"/>
        </w:trPr>
        <w:tc>
          <w:tcPr>
            <w:tcW w:w="3757" w:type="dxa"/>
            <w:tcBorders>
              <w:top w:val="nil"/>
              <w:left w:val="single" w:sz="8" w:space="0" w:color="auto"/>
              <w:bottom w:val="single" w:sz="8" w:space="0" w:color="auto"/>
              <w:right w:val="single" w:sz="8" w:space="0" w:color="auto"/>
            </w:tcBorders>
            <w:shd w:val="clear" w:color="auto" w:fill="auto"/>
            <w:vAlign w:val="center"/>
            <w:hideMark/>
          </w:tcPr>
          <w:p w14:paraId="7472495E" w14:textId="77777777" w:rsidR="00DE69C4" w:rsidRPr="00DE69C4" w:rsidRDefault="00BC5B1D" w:rsidP="00DE69C4">
            <w:pPr>
              <w:jc w:val="both"/>
              <w:rPr>
                <w:color w:val="000000"/>
              </w:rPr>
            </w:pPr>
            <w:r w:rsidRPr="00DE69C4">
              <w:rPr>
                <w:bCs/>
                <w:color w:val="000000"/>
              </w:rPr>
              <w:t> </w:t>
            </w:r>
          </w:p>
        </w:tc>
        <w:tc>
          <w:tcPr>
            <w:tcW w:w="1418" w:type="dxa"/>
            <w:tcBorders>
              <w:top w:val="nil"/>
              <w:left w:val="nil"/>
              <w:bottom w:val="single" w:sz="8" w:space="0" w:color="auto"/>
              <w:right w:val="single" w:sz="8" w:space="0" w:color="auto"/>
            </w:tcBorders>
            <w:shd w:val="clear" w:color="auto" w:fill="auto"/>
            <w:vAlign w:val="center"/>
            <w:hideMark/>
          </w:tcPr>
          <w:p w14:paraId="5F758B77" w14:textId="77777777" w:rsidR="00DE69C4" w:rsidRPr="00DE69C4" w:rsidRDefault="00BC5B1D" w:rsidP="00DE69C4">
            <w:pPr>
              <w:jc w:val="center"/>
              <w:rPr>
                <w:color w:val="000000"/>
              </w:rPr>
            </w:pPr>
            <w:r w:rsidRPr="00DE69C4">
              <w:rPr>
                <w:bCs/>
                <w:color w:val="000000"/>
              </w:rPr>
              <w:t>Estimate</w:t>
            </w:r>
          </w:p>
        </w:tc>
        <w:tc>
          <w:tcPr>
            <w:tcW w:w="1619" w:type="dxa"/>
            <w:tcBorders>
              <w:top w:val="nil"/>
              <w:left w:val="nil"/>
              <w:bottom w:val="single" w:sz="8" w:space="0" w:color="auto"/>
              <w:right w:val="single" w:sz="8" w:space="0" w:color="auto"/>
            </w:tcBorders>
            <w:shd w:val="clear" w:color="auto" w:fill="auto"/>
            <w:vAlign w:val="center"/>
            <w:hideMark/>
          </w:tcPr>
          <w:p w14:paraId="3B7438DC" w14:textId="77777777" w:rsidR="00DE69C4" w:rsidRPr="00DE69C4" w:rsidRDefault="00BC5B1D" w:rsidP="00DE69C4">
            <w:pPr>
              <w:jc w:val="center"/>
              <w:rPr>
                <w:color w:val="000000"/>
              </w:rPr>
            </w:pPr>
            <w:r w:rsidRPr="00DE69C4">
              <w:rPr>
                <w:bCs/>
                <w:color w:val="000000"/>
              </w:rPr>
              <w:t>Estimate</w:t>
            </w:r>
          </w:p>
        </w:tc>
        <w:tc>
          <w:tcPr>
            <w:tcW w:w="1418" w:type="dxa"/>
            <w:tcBorders>
              <w:top w:val="nil"/>
              <w:left w:val="nil"/>
              <w:bottom w:val="single" w:sz="8" w:space="0" w:color="auto"/>
              <w:right w:val="single" w:sz="8" w:space="0" w:color="auto"/>
            </w:tcBorders>
            <w:shd w:val="clear" w:color="auto" w:fill="auto"/>
            <w:vAlign w:val="center"/>
            <w:hideMark/>
          </w:tcPr>
          <w:p w14:paraId="74B62796" w14:textId="77777777" w:rsidR="00DE69C4" w:rsidRPr="00DE69C4" w:rsidRDefault="00BC5B1D" w:rsidP="00DE69C4">
            <w:pPr>
              <w:jc w:val="center"/>
              <w:rPr>
                <w:color w:val="000000"/>
              </w:rPr>
            </w:pPr>
            <w:r w:rsidRPr="00DE69C4">
              <w:rPr>
                <w:bCs/>
                <w:color w:val="000000"/>
              </w:rPr>
              <w:t xml:space="preserve">Estimate </w:t>
            </w:r>
          </w:p>
        </w:tc>
        <w:tc>
          <w:tcPr>
            <w:tcW w:w="1276" w:type="dxa"/>
            <w:tcBorders>
              <w:top w:val="nil"/>
              <w:left w:val="nil"/>
              <w:bottom w:val="single" w:sz="8" w:space="0" w:color="auto"/>
              <w:right w:val="single" w:sz="8" w:space="0" w:color="auto"/>
            </w:tcBorders>
            <w:shd w:val="clear" w:color="auto" w:fill="auto"/>
            <w:vAlign w:val="center"/>
            <w:hideMark/>
          </w:tcPr>
          <w:p w14:paraId="0B199344" w14:textId="77777777" w:rsidR="00DE69C4" w:rsidRPr="00DE69C4" w:rsidRDefault="00BC5B1D" w:rsidP="00DE69C4">
            <w:pPr>
              <w:jc w:val="center"/>
              <w:rPr>
                <w:color w:val="000000"/>
              </w:rPr>
            </w:pPr>
            <w:r w:rsidRPr="00DE69C4">
              <w:rPr>
                <w:bCs/>
                <w:color w:val="000000"/>
              </w:rPr>
              <w:t xml:space="preserve">Estimate </w:t>
            </w:r>
          </w:p>
        </w:tc>
      </w:tr>
      <w:tr w:rsidR="00937FCD" w14:paraId="62314814" w14:textId="77777777" w:rsidTr="00C248F1">
        <w:trPr>
          <w:trHeight w:val="315"/>
        </w:trPr>
        <w:tc>
          <w:tcPr>
            <w:tcW w:w="3757" w:type="dxa"/>
            <w:tcBorders>
              <w:top w:val="nil"/>
              <w:left w:val="single" w:sz="8" w:space="0" w:color="auto"/>
              <w:bottom w:val="single" w:sz="8" w:space="0" w:color="auto"/>
              <w:right w:val="single" w:sz="8" w:space="0" w:color="auto"/>
            </w:tcBorders>
            <w:shd w:val="clear" w:color="auto" w:fill="auto"/>
            <w:vAlign w:val="center"/>
            <w:hideMark/>
          </w:tcPr>
          <w:p w14:paraId="1E732E67" w14:textId="77777777" w:rsidR="00DE69C4" w:rsidRPr="00DE69C4" w:rsidRDefault="00BC5B1D" w:rsidP="00DE69C4">
            <w:pPr>
              <w:jc w:val="both"/>
              <w:rPr>
                <w:color w:val="000000"/>
              </w:rPr>
            </w:pPr>
            <w:r w:rsidRPr="00DE69C4">
              <w:rPr>
                <w:bCs/>
                <w:color w:val="000000"/>
              </w:rPr>
              <w:t> </w:t>
            </w:r>
          </w:p>
        </w:tc>
        <w:tc>
          <w:tcPr>
            <w:tcW w:w="1418" w:type="dxa"/>
            <w:tcBorders>
              <w:top w:val="nil"/>
              <w:left w:val="nil"/>
              <w:bottom w:val="single" w:sz="8" w:space="0" w:color="auto"/>
              <w:right w:val="single" w:sz="8" w:space="0" w:color="auto"/>
            </w:tcBorders>
            <w:shd w:val="clear" w:color="auto" w:fill="auto"/>
            <w:vAlign w:val="center"/>
            <w:hideMark/>
          </w:tcPr>
          <w:p w14:paraId="43C7E016" w14:textId="77777777" w:rsidR="00DE69C4" w:rsidRPr="00DE69C4" w:rsidRDefault="00BC5B1D" w:rsidP="00DE69C4">
            <w:pPr>
              <w:jc w:val="center"/>
              <w:rPr>
                <w:color w:val="000000"/>
              </w:rPr>
            </w:pPr>
            <w:r w:rsidRPr="00DE69C4">
              <w:rPr>
                <w:bCs/>
                <w:color w:val="000000"/>
              </w:rPr>
              <w:t>£m</w:t>
            </w:r>
          </w:p>
        </w:tc>
        <w:tc>
          <w:tcPr>
            <w:tcW w:w="1619" w:type="dxa"/>
            <w:tcBorders>
              <w:top w:val="nil"/>
              <w:left w:val="nil"/>
              <w:bottom w:val="single" w:sz="8" w:space="0" w:color="auto"/>
              <w:right w:val="single" w:sz="8" w:space="0" w:color="auto"/>
            </w:tcBorders>
            <w:shd w:val="clear" w:color="auto" w:fill="auto"/>
            <w:vAlign w:val="center"/>
            <w:hideMark/>
          </w:tcPr>
          <w:p w14:paraId="65EC8E72" w14:textId="77777777" w:rsidR="00DE69C4" w:rsidRPr="00DE69C4" w:rsidRDefault="00BC5B1D" w:rsidP="00DE69C4">
            <w:pPr>
              <w:jc w:val="center"/>
              <w:rPr>
                <w:color w:val="000000"/>
              </w:rPr>
            </w:pPr>
            <w:r w:rsidRPr="00DE69C4">
              <w:rPr>
                <w:bCs/>
                <w:color w:val="000000"/>
              </w:rPr>
              <w:t>£m</w:t>
            </w:r>
          </w:p>
        </w:tc>
        <w:tc>
          <w:tcPr>
            <w:tcW w:w="1418" w:type="dxa"/>
            <w:tcBorders>
              <w:top w:val="nil"/>
              <w:left w:val="nil"/>
              <w:bottom w:val="single" w:sz="8" w:space="0" w:color="auto"/>
              <w:right w:val="single" w:sz="8" w:space="0" w:color="auto"/>
            </w:tcBorders>
            <w:shd w:val="clear" w:color="auto" w:fill="auto"/>
            <w:vAlign w:val="center"/>
            <w:hideMark/>
          </w:tcPr>
          <w:p w14:paraId="3F219F2E" w14:textId="77777777" w:rsidR="00DE69C4" w:rsidRPr="00DE69C4" w:rsidRDefault="00BC5B1D" w:rsidP="00DE69C4">
            <w:pPr>
              <w:jc w:val="center"/>
              <w:rPr>
                <w:color w:val="000000"/>
              </w:rPr>
            </w:pPr>
            <w:r w:rsidRPr="00DE69C4">
              <w:rPr>
                <w:bCs/>
                <w:color w:val="000000"/>
              </w:rPr>
              <w:t>£m</w:t>
            </w:r>
          </w:p>
        </w:tc>
        <w:tc>
          <w:tcPr>
            <w:tcW w:w="1276" w:type="dxa"/>
            <w:tcBorders>
              <w:top w:val="nil"/>
              <w:left w:val="nil"/>
              <w:bottom w:val="single" w:sz="8" w:space="0" w:color="auto"/>
              <w:right w:val="single" w:sz="8" w:space="0" w:color="auto"/>
            </w:tcBorders>
            <w:shd w:val="clear" w:color="auto" w:fill="auto"/>
            <w:vAlign w:val="center"/>
            <w:hideMark/>
          </w:tcPr>
          <w:p w14:paraId="07E4738B" w14:textId="77777777" w:rsidR="00DE69C4" w:rsidRPr="00DE69C4" w:rsidRDefault="00BC5B1D" w:rsidP="00DE69C4">
            <w:pPr>
              <w:jc w:val="center"/>
              <w:rPr>
                <w:color w:val="000000"/>
              </w:rPr>
            </w:pPr>
            <w:r w:rsidRPr="00DE69C4">
              <w:rPr>
                <w:bCs/>
                <w:color w:val="000000"/>
              </w:rPr>
              <w:t>£m</w:t>
            </w:r>
          </w:p>
        </w:tc>
      </w:tr>
      <w:tr w:rsidR="00937FCD" w14:paraId="0AB60081" w14:textId="77777777" w:rsidTr="00C248F1">
        <w:trPr>
          <w:trHeight w:val="315"/>
        </w:trPr>
        <w:tc>
          <w:tcPr>
            <w:tcW w:w="3757" w:type="dxa"/>
            <w:tcBorders>
              <w:top w:val="nil"/>
              <w:left w:val="single" w:sz="8" w:space="0" w:color="auto"/>
              <w:bottom w:val="single" w:sz="8" w:space="0" w:color="auto"/>
              <w:right w:val="single" w:sz="8" w:space="0" w:color="auto"/>
            </w:tcBorders>
            <w:shd w:val="clear" w:color="auto" w:fill="auto"/>
            <w:vAlign w:val="center"/>
            <w:hideMark/>
          </w:tcPr>
          <w:p w14:paraId="17A70408" w14:textId="77777777" w:rsidR="00DE69C4" w:rsidRPr="00DE69C4" w:rsidRDefault="00BC5B1D" w:rsidP="00DE69C4">
            <w:pPr>
              <w:rPr>
                <w:color w:val="000000"/>
              </w:rPr>
            </w:pPr>
            <w:r w:rsidRPr="00DE69C4">
              <w:rPr>
                <w:bCs/>
                <w:color w:val="000000"/>
              </w:rPr>
              <w:t xml:space="preserve">Capital financing requirement </w:t>
            </w:r>
          </w:p>
        </w:tc>
        <w:tc>
          <w:tcPr>
            <w:tcW w:w="1418" w:type="dxa"/>
            <w:tcBorders>
              <w:top w:val="nil"/>
              <w:left w:val="nil"/>
              <w:bottom w:val="single" w:sz="8" w:space="0" w:color="auto"/>
              <w:right w:val="single" w:sz="8" w:space="0" w:color="auto"/>
            </w:tcBorders>
            <w:shd w:val="clear" w:color="auto" w:fill="auto"/>
            <w:vAlign w:val="center"/>
            <w:hideMark/>
          </w:tcPr>
          <w:p w14:paraId="7D52556F" w14:textId="77777777" w:rsidR="00DE69C4" w:rsidRPr="00DE69C4" w:rsidRDefault="00BC5B1D" w:rsidP="00C248F1">
            <w:pPr>
              <w:jc w:val="right"/>
              <w:rPr>
                <w:color w:val="000000"/>
              </w:rPr>
            </w:pPr>
            <w:r w:rsidRPr="00DE69C4">
              <w:rPr>
                <w:color w:val="000000"/>
              </w:rPr>
              <w:t>1,156</w:t>
            </w:r>
          </w:p>
        </w:tc>
        <w:tc>
          <w:tcPr>
            <w:tcW w:w="1619" w:type="dxa"/>
            <w:tcBorders>
              <w:top w:val="nil"/>
              <w:left w:val="nil"/>
              <w:bottom w:val="single" w:sz="8" w:space="0" w:color="auto"/>
              <w:right w:val="single" w:sz="8" w:space="0" w:color="auto"/>
            </w:tcBorders>
            <w:shd w:val="clear" w:color="auto" w:fill="auto"/>
            <w:vAlign w:val="center"/>
            <w:hideMark/>
          </w:tcPr>
          <w:p w14:paraId="5AA47BCF" w14:textId="77777777" w:rsidR="00DE69C4" w:rsidRPr="00DE69C4" w:rsidRDefault="00BC5B1D" w:rsidP="00C248F1">
            <w:pPr>
              <w:jc w:val="right"/>
              <w:rPr>
                <w:color w:val="000000"/>
              </w:rPr>
            </w:pPr>
            <w:r w:rsidRPr="00DE69C4">
              <w:rPr>
                <w:color w:val="000000"/>
              </w:rPr>
              <w:t>1,209</w:t>
            </w:r>
          </w:p>
        </w:tc>
        <w:tc>
          <w:tcPr>
            <w:tcW w:w="1418" w:type="dxa"/>
            <w:tcBorders>
              <w:top w:val="nil"/>
              <w:left w:val="nil"/>
              <w:bottom w:val="single" w:sz="8" w:space="0" w:color="auto"/>
              <w:right w:val="single" w:sz="8" w:space="0" w:color="auto"/>
            </w:tcBorders>
            <w:shd w:val="clear" w:color="auto" w:fill="auto"/>
            <w:vAlign w:val="center"/>
            <w:hideMark/>
          </w:tcPr>
          <w:p w14:paraId="732E9108" w14:textId="77777777" w:rsidR="00DE69C4" w:rsidRPr="00DE69C4" w:rsidRDefault="00BC5B1D" w:rsidP="00C248F1">
            <w:pPr>
              <w:jc w:val="right"/>
              <w:rPr>
                <w:color w:val="000000"/>
              </w:rPr>
            </w:pPr>
            <w:r w:rsidRPr="00DE69C4">
              <w:rPr>
                <w:color w:val="000000"/>
              </w:rPr>
              <w:t>1,225</w:t>
            </w:r>
          </w:p>
        </w:tc>
        <w:tc>
          <w:tcPr>
            <w:tcW w:w="1276" w:type="dxa"/>
            <w:tcBorders>
              <w:top w:val="nil"/>
              <w:left w:val="nil"/>
              <w:bottom w:val="single" w:sz="8" w:space="0" w:color="auto"/>
              <w:right w:val="single" w:sz="8" w:space="0" w:color="auto"/>
            </w:tcBorders>
            <w:shd w:val="clear" w:color="auto" w:fill="auto"/>
            <w:vAlign w:val="center"/>
            <w:hideMark/>
          </w:tcPr>
          <w:p w14:paraId="5C7EE221" w14:textId="77777777" w:rsidR="00DE69C4" w:rsidRPr="00DE69C4" w:rsidRDefault="00BC5B1D" w:rsidP="00C248F1">
            <w:pPr>
              <w:jc w:val="right"/>
              <w:rPr>
                <w:color w:val="000000"/>
              </w:rPr>
            </w:pPr>
            <w:r w:rsidRPr="00DE69C4">
              <w:rPr>
                <w:color w:val="000000"/>
              </w:rPr>
              <w:t>1,239</w:t>
            </w:r>
          </w:p>
        </w:tc>
      </w:tr>
      <w:tr w:rsidR="00937FCD" w14:paraId="3824C097" w14:textId="77777777" w:rsidTr="00C248F1">
        <w:trPr>
          <w:trHeight w:val="315"/>
        </w:trPr>
        <w:tc>
          <w:tcPr>
            <w:tcW w:w="3757" w:type="dxa"/>
            <w:tcBorders>
              <w:top w:val="nil"/>
              <w:left w:val="single" w:sz="8" w:space="0" w:color="auto"/>
              <w:bottom w:val="single" w:sz="8" w:space="0" w:color="auto"/>
              <w:right w:val="single" w:sz="8" w:space="0" w:color="auto"/>
            </w:tcBorders>
            <w:shd w:val="clear" w:color="auto" w:fill="auto"/>
            <w:vAlign w:val="center"/>
            <w:hideMark/>
          </w:tcPr>
          <w:p w14:paraId="033E19A7" w14:textId="77777777" w:rsidR="00DE69C4" w:rsidRPr="00DE69C4" w:rsidRDefault="00BC5B1D" w:rsidP="00DE69C4">
            <w:pPr>
              <w:rPr>
                <w:color w:val="000000"/>
              </w:rPr>
            </w:pPr>
            <w:r w:rsidRPr="00DE69C4">
              <w:rPr>
                <w:bCs/>
                <w:color w:val="000000"/>
              </w:rPr>
              <w:t>Other long</w:t>
            </w:r>
            <w:r w:rsidR="00C248F1">
              <w:rPr>
                <w:bCs/>
                <w:color w:val="000000"/>
              </w:rPr>
              <w:t>-</w:t>
            </w:r>
            <w:r w:rsidRPr="00DE69C4">
              <w:rPr>
                <w:bCs/>
                <w:color w:val="000000"/>
              </w:rPr>
              <w:t>term liabilities</w:t>
            </w:r>
          </w:p>
        </w:tc>
        <w:tc>
          <w:tcPr>
            <w:tcW w:w="1418" w:type="dxa"/>
            <w:tcBorders>
              <w:top w:val="nil"/>
              <w:left w:val="nil"/>
              <w:bottom w:val="single" w:sz="8" w:space="0" w:color="auto"/>
              <w:right w:val="single" w:sz="8" w:space="0" w:color="auto"/>
            </w:tcBorders>
            <w:shd w:val="clear" w:color="auto" w:fill="auto"/>
            <w:vAlign w:val="center"/>
            <w:hideMark/>
          </w:tcPr>
          <w:p w14:paraId="006AC568" w14:textId="77777777" w:rsidR="00DE69C4" w:rsidRPr="00DE69C4" w:rsidRDefault="00BC5B1D" w:rsidP="00C248F1">
            <w:pPr>
              <w:jc w:val="right"/>
              <w:rPr>
                <w:color w:val="000000"/>
              </w:rPr>
            </w:pPr>
            <w:r w:rsidRPr="00DE69C4">
              <w:rPr>
                <w:color w:val="000000"/>
              </w:rPr>
              <w:t>-133</w:t>
            </w:r>
          </w:p>
        </w:tc>
        <w:tc>
          <w:tcPr>
            <w:tcW w:w="1619" w:type="dxa"/>
            <w:tcBorders>
              <w:top w:val="nil"/>
              <w:left w:val="nil"/>
              <w:bottom w:val="single" w:sz="8" w:space="0" w:color="auto"/>
              <w:right w:val="single" w:sz="8" w:space="0" w:color="auto"/>
            </w:tcBorders>
            <w:shd w:val="clear" w:color="auto" w:fill="auto"/>
            <w:vAlign w:val="center"/>
            <w:hideMark/>
          </w:tcPr>
          <w:p w14:paraId="1B23E0EE" w14:textId="77777777" w:rsidR="00DE69C4" w:rsidRPr="00DE69C4" w:rsidRDefault="00BC5B1D" w:rsidP="00C248F1">
            <w:pPr>
              <w:jc w:val="right"/>
              <w:rPr>
                <w:color w:val="000000"/>
              </w:rPr>
            </w:pPr>
            <w:r w:rsidRPr="00DE69C4">
              <w:rPr>
                <w:color w:val="000000"/>
              </w:rPr>
              <w:t>-126</w:t>
            </w:r>
          </w:p>
        </w:tc>
        <w:tc>
          <w:tcPr>
            <w:tcW w:w="1418" w:type="dxa"/>
            <w:tcBorders>
              <w:top w:val="nil"/>
              <w:left w:val="nil"/>
              <w:bottom w:val="single" w:sz="8" w:space="0" w:color="auto"/>
              <w:right w:val="single" w:sz="8" w:space="0" w:color="auto"/>
            </w:tcBorders>
            <w:shd w:val="clear" w:color="auto" w:fill="auto"/>
            <w:vAlign w:val="center"/>
            <w:hideMark/>
          </w:tcPr>
          <w:p w14:paraId="4A78D323" w14:textId="77777777" w:rsidR="00DE69C4" w:rsidRPr="00DE69C4" w:rsidRDefault="00BC5B1D" w:rsidP="00C248F1">
            <w:pPr>
              <w:jc w:val="right"/>
              <w:rPr>
                <w:color w:val="000000"/>
              </w:rPr>
            </w:pPr>
            <w:r w:rsidRPr="00DE69C4">
              <w:rPr>
                <w:color w:val="000000"/>
              </w:rPr>
              <w:t>-119</w:t>
            </w:r>
          </w:p>
        </w:tc>
        <w:tc>
          <w:tcPr>
            <w:tcW w:w="1276" w:type="dxa"/>
            <w:tcBorders>
              <w:top w:val="nil"/>
              <w:left w:val="nil"/>
              <w:bottom w:val="single" w:sz="8" w:space="0" w:color="auto"/>
              <w:right w:val="single" w:sz="8" w:space="0" w:color="auto"/>
            </w:tcBorders>
            <w:shd w:val="clear" w:color="auto" w:fill="auto"/>
            <w:vAlign w:val="center"/>
            <w:hideMark/>
          </w:tcPr>
          <w:p w14:paraId="1848B3C1" w14:textId="77777777" w:rsidR="00DE69C4" w:rsidRPr="00DE69C4" w:rsidRDefault="00BC5B1D" w:rsidP="00C248F1">
            <w:pPr>
              <w:jc w:val="right"/>
              <w:rPr>
                <w:color w:val="000000"/>
              </w:rPr>
            </w:pPr>
            <w:r w:rsidRPr="00DE69C4">
              <w:rPr>
                <w:color w:val="000000"/>
              </w:rPr>
              <w:t>-110</w:t>
            </w:r>
          </w:p>
        </w:tc>
      </w:tr>
      <w:tr w:rsidR="00937FCD" w14:paraId="245B3268" w14:textId="77777777" w:rsidTr="00C248F1">
        <w:trPr>
          <w:trHeight w:val="315"/>
        </w:trPr>
        <w:tc>
          <w:tcPr>
            <w:tcW w:w="3757" w:type="dxa"/>
            <w:tcBorders>
              <w:top w:val="nil"/>
              <w:left w:val="single" w:sz="8" w:space="0" w:color="auto"/>
              <w:bottom w:val="single" w:sz="8" w:space="0" w:color="auto"/>
              <w:right w:val="single" w:sz="8" w:space="0" w:color="auto"/>
            </w:tcBorders>
            <w:shd w:val="clear" w:color="000000" w:fill="DBE5F1"/>
            <w:vAlign w:val="center"/>
            <w:hideMark/>
          </w:tcPr>
          <w:p w14:paraId="74FD33A6" w14:textId="77777777" w:rsidR="00DE69C4" w:rsidRPr="00DE69C4" w:rsidRDefault="00BC5B1D" w:rsidP="00DE69C4">
            <w:pPr>
              <w:rPr>
                <w:color w:val="000000"/>
              </w:rPr>
            </w:pPr>
            <w:r w:rsidRPr="00DE69C4">
              <w:rPr>
                <w:color w:val="000000"/>
              </w:rPr>
              <w:t>Borrowing capital financing requirement</w:t>
            </w:r>
          </w:p>
        </w:tc>
        <w:tc>
          <w:tcPr>
            <w:tcW w:w="1418" w:type="dxa"/>
            <w:tcBorders>
              <w:top w:val="nil"/>
              <w:left w:val="nil"/>
              <w:bottom w:val="single" w:sz="8" w:space="0" w:color="auto"/>
              <w:right w:val="single" w:sz="8" w:space="0" w:color="auto"/>
            </w:tcBorders>
            <w:shd w:val="clear" w:color="000000" w:fill="DBE5F1"/>
            <w:vAlign w:val="center"/>
            <w:hideMark/>
          </w:tcPr>
          <w:p w14:paraId="30B35C7E" w14:textId="77777777" w:rsidR="00DE69C4" w:rsidRPr="00DE69C4" w:rsidRDefault="00BC5B1D" w:rsidP="00C248F1">
            <w:pPr>
              <w:jc w:val="right"/>
              <w:rPr>
                <w:color w:val="000000"/>
              </w:rPr>
            </w:pPr>
            <w:r w:rsidRPr="00DE69C4">
              <w:t>1,023</w:t>
            </w:r>
          </w:p>
        </w:tc>
        <w:tc>
          <w:tcPr>
            <w:tcW w:w="1619" w:type="dxa"/>
            <w:tcBorders>
              <w:top w:val="nil"/>
              <w:left w:val="nil"/>
              <w:bottom w:val="single" w:sz="8" w:space="0" w:color="auto"/>
              <w:right w:val="single" w:sz="8" w:space="0" w:color="auto"/>
            </w:tcBorders>
            <w:shd w:val="clear" w:color="000000" w:fill="DBE5F1"/>
            <w:vAlign w:val="center"/>
            <w:hideMark/>
          </w:tcPr>
          <w:p w14:paraId="6BF02AE8" w14:textId="77777777" w:rsidR="00DE69C4" w:rsidRPr="00DE69C4" w:rsidRDefault="00BC5B1D" w:rsidP="00C248F1">
            <w:pPr>
              <w:jc w:val="right"/>
              <w:rPr>
                <w:color w:val="000000"/>
              </w:rPr>
            </w:pPr>
            <w:r w:rsidRPr="00DE69C4">
              <w:t>1,083</w:t>
            </w:r>
          </w:p>
        </w:tc>
        <w:tc>
          <w:tcPr>
            <w:tcW w:w="1418" w:type="dxa"/>
            <w:tcBorders>
              <w:top w:val="nil"/>
              <w:left w:val="nil"/>
              <w:bottom w:val="single" w:sz="8" w:space="0" w:color="auto"/>
              <w:right w:val="single" w:sz="8" w:space="0" w:color="auto"/>
            </w:tcBorders>
            <w:shd w:val="clear" w:color="000000" w:fill="DBE5F1"/>
            <w:vAlign w:val="center"/>
            <w:hideMark/>
          </w:tcPr>
          <w:p w14:paraId="77AAFE03" w14:textId="77777777" w:rsidR="00DE69C4" w:rsidRPr="00DE69C4" w:rsidRDefault="00BC5B1D" w:rsidP="00C248F1">
            <w:pPr>
              <w:jc w:val="right"/>
              <w:rPr>
                <w:color w:val="000000"/>
              </w:rPr>
            </w:pPr>
            <w:r w:rsidRPr="00DE69C4">
              <w:t>1,106</w:t>
            </w:r>
          </w:p>
        </w:tc>
        <w:tc>
          <w:tcPr>
            <w:tcW w:w="1276" w:type="dxa"/>
            <w:tcBorders>
              <w:top w:val="nil"/>
              <w:left w:val="nil"/>
              <w:bottom w:val="single" w:sz="8" w:space="0" w:color="auto"/>
              <w:right w:val="single" w:sz="8" w:space="0" w:color="auto"/>
            </w:tcBorders>
            <w:shd w:val="clear" w:color="000000" w:fill="DBE5F1"/>
            <w:vAlign w:val="center"/>
            <w:hideMark/>
          </w:tcPr>
          <w:p w14:paraId="75DFC37B" w14:textId="77777777" w:rsidR="00DE69C4" w:rsidRPr="00DE69C4" w:rsidRDefault="00BC5B1D" w:rsidP="00C248F1">
            <w:pPr>
              <w:jc w:val="right"/>
              <w:rPr>
                <w:color w:val="000000"/>
              </w:rPr>
            </w:pPr>
            <w:r w:rsidRPr="00DE69C4">
              <w:t>1,129</w:t>
            </w:r>
          </w:p>
        </w:tc>
      </w:tr>
      <w:tr w:rsidR="00937FCD" w14:paraId="5BC76629" w14:textId="77777777" w:rsidTr="00C248F1">
        <w:trPr>
          <w:trHeight w:val="315"/>
        </w:trPr>
        <w:tc>
          <w:tcPr>
            <w:tcW w:w="3757" w:type="dxa"/>
            <w:tcBorders>
              <w:top w:val="nil"/>
              <w:left w:val="single" w:sz="8" w:space="0" w:color="auto"/>
              <w:bottom w:val="single" w:sz="8" w:space="0" w:color="auto"/>
              <w:right w:val="single" w:sz="8" w:space="0" w:color="auto"/>
            </w:tcBorders>
            <w:shd w:val="clear" w:color="auto" w:fill="auto"/>
            <w:vAlign w:val="center"/>
            <w:hideMark/>
          </w:tcPr>
          <w:p w14:paraId="59A988D6" w14:textId="77777777" w:rsidR="00DE69C4" w:rsidRPr="00DE69C4" w:rsidRDefault="00BC5B1D" w:rsidP="00DE69C4">
            <w:pPr>
              <w:rPr>
                <w:i/>
                <w:iCs/>
                <w:color w:val="000000"/>
              </w:rPr>
            </w:pPr>
            <w:r w:rsidRPr="00DE69C4">
              <w:rPr>
                <w:bCs/>
                <w:i/>
                <w:iCs/>
                <w:color w:val="000000"/>
              </w:rPr>
              <w:t> </w:t>
            </w:r>
          </w:p>
        </w:tc>
        <w:tc>
          <w:tcPr>
            <w:tcW w:w="1418" w:type="dxa"/>
            <w:tcBorders>
              <w:top w:val="nil"/>
              <w:left w:val="nil"/>
              <w:bottom w:val="single" w:sz="8" w:space="0" w:color="auto"/>
              <w:right w:val="single" w:sz="8" w:space="0" w:color="auto"/>
            </w:tcBorders>
            <w:shd w:val="clear" w:color="auto" w:fill="auto"/>
            <w:vAlign w:val="center"/>
            <w:hideMark/>
          </w:tcPr>
          <w:p w14:paraId="57F35767" w14:textId="77777777" w:rsidR="00DE69C4" w:rsidRPr="00DE69C4" w:rsidRDefault="00BC5B1D" w:rsidP="00C248F1">
            <w:pPr>
              <w:jc w:val="right"/>
              <w:rPr>
                <w:color w:val="000000"/>
              </w:rPr>
            </w:pPr>
            <w:r w:rsidRPr="00DE69C4">
              <w:rPr>
                <w:color w:val="000000"/>
              </w:rPr>
              <w:t> </w:t>
            </w:r>
          </w:p>
        </w:tc>
        <w:tc>
          <w:tcPr>
            <w:tcW w:w="1619" w:type="dxa"/>
            <w:tcBorders>
              <w:top w:val="nil"/>
              <w:left w:val="nil"/>
              <w:bottom w:val="single" w:sz="8" w:space="0" w:color="auto"/>
              <w:right w:val="single" w:sz="8" w:space="0" w:color="auto"/>
            </w:tcBorders>
            <w:shd w:val="clear" w:color="auto" w:fill="auto"/>
            <w:vAlign w:val="center"/>
            <w:hideMark/>
          </w:tcPr>
          <w:p w14:paraId="2D6CE635" w14:textId="77777777" w:rsidR="00DE69C4" w:rsidRPr="00DE69C4" w:rsidRDefault="00BC5B1D" w:rsidP="00C248F1">
            <w:pPr>
              <w:jc w:val="right"/>
              <w:rPr>
                <w:color w:val="000000"/>
              </w:rPr>
            </w:pPr>
            <w:r w:rsidRPr="00DE69C4">
              <w:rPr>
                <w:color w:val="000000"/>
              </w:rPr>
              <w:t> </w:t>
            </w:r>
          </w:p>
        </w:tc>
        <w:tc>
          <w:tcPr>
            <w:tcW w:w="1418" w:type="dxa"/>
            <w:tcBorders>
              <w:top w:val="nil"/>
              <w:left w:val="nil"/>
              <w:bottom w:val="single" w:sz="8" w:space="0" w:color="auto"/>
              <w:right w:val="single" w:sz="8" w:space="0" w:color="auto"/>
            </w:tcBorders>
            <w:shd w:val="clear" w:color="auto" w:fill="auto"/>
            <w:vAlign w:val="center"/>
            <w:hideMark/>
          </w:tcPr>
          <w:p w14:paraId="45C84649" w14:textId="77777777" w:rsidR="00DE69C4" w:rsidRPr="00DE69C4" w:rsidRDefault="00BC5B1D" w:rsidP="00C248F1">
            <w:pPr>
              <w:jc w:val="right"/>
              <w:rPr>
                <w:color w:val="000000"/>
              </w:rPr>
            </w:pPr>
            <w:r w:rsidRPr="00DE69C4">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14:paraId="2F3D3FDA" w14:textId="77777777" w:rsidR="00DE69C4" w:rsidRPr="00DE69C4" w:rsidRDefault="00BC5B1D" w:rsidP="00C248F1">
            <w:pPr>
              <w:jc w:val="right"/>
              <w:rPr>
                <w:color w:val="000000"/>
              </w:rPr>
            </w:pPr>
            <w:r w:rsidRPr="00DE69C4">
              <w:rPr>
                <w:color w:val="000000"/>
              </w:rPr>
              <w:t> </w:t>
            </w:r>
          </w:p>
        </w:tc>
      </w:tr>
      <w:tr w:rsidR="00937FCD" w14:paraId="5A79BD43" w14:textId="77777777" w:rsidTr="00C248F1">
        <w:trPr>
          <w:trHeight w:val="315"/>
        </w:trPr>
        <w:tc>
          <w:tcPr>
            <w:tcW w:w="3757" w:type="dxa"/>
            <w:tcBorders>
              <w:top w:val="nil"/>
              <w:left w:val="single" w:sz="8" w:space="0" w:color="auto"/>
              <w:bottom w:val="single" w:sz="8" w:space="0" w:color="auto"/>
              <w:right w:val="single" w:sz="8" w:space="0" w:color="auto"/>
            </w:tcBorders>
            <w:shd w:val="clear" w:color="auto" w:fill="auto"/>
            <w:vAlign w:val="center"/>
            <w:hideMark/>
          </w:tcPr>
          <w:p w14:paraId="0BA7162E" w14:textId="77777777" w:rsidR="00DE69C4" w:rsidRPr="00DE69C4" w:rsidRDefault="00BC5B1D" w:rsidP="00DE69C4">
            <w:pPr>
              <w:rPr>
                <w:color w:val="000000"/>
              </w:rPr>
            </w:pPr>
            <w:r w:rsidRPr="00DE69C4">
              <w:rPr>
                <w:bCs/>
                <w:color w:val="000000"/>
              </w:rPr>
              <w:t>External borrowing</w:t>
            </w:r>
          </w:p>
        </w:tc>
        <w:tc>
          <w:tcPr>
            <w:tcW w:w="1418" w:type="dxa"/>
            <w:tcBorders>
              <w:top w:val="nil"/>
              <w:left w:val="nil"/>
              <w:bottom w:val="single" w:sz="8" w:space="0" w:color="auto"/>
              <w:right w:val="single" w:sz="8" w:space="0" w:color="auto"/>
            </w:tcBorders>
            <w:shd w:val="clear" w:color="auto" w:fill="auto"/>
            <w:vAlign w:val="center"/>
            <w:hideMark/>
          </w:tcPr>
          <w:p w14:paraId="240A89AD" w14:textId="77777777" w:rsidR="00DE69C4" w:rsidRPr="00DE69C4" w:rsidRDefault="00BC5B1D" w:rsidP="00C248F1">
            <w:pPr>
              <w:jc w:val="right"/>
              <w:rPr>
                <w:color w:val="000000"/>
              </w:rPr>
            </w:pPr>
            <w:r w:rsidRPr="00DE69C4">
              <w:rPr>
                <w:color w:val="000000"/>
              </w:rPr>
              <w:t>-1,084</w:t>
            </w:r>
          </w:p>
        </w:tc>
        <w:tc>
          <w:tcPr>
            <w:tcW w:w="1619" w:type="dxa"/>
            <w:tcBorders>
              <w:top w:val="nil"/>
              <w:left w:val="nil"/>
              <w:bottom w:val="single" w:sz="8" w:space="0" w:color="auto"/>
              <w:right w:val="single" w:sz="8" w:space="0" w:color="auto"/>
            </w:tcBorders>
            <w:shd w:val="clear" w:color="auto" w:fill="auto"/>
            <w:vAlign w:val="center"/>
            <w:hideMark/>
          </w:tcPr>
          <w:p w14:paraId="435076B5" w14:textId="77777777" w:rsidR="00DE69C4" w:rsidRPr="00DE69C4" w:rsidRDefault="00BC5B1D" w:rsidP="00C248F1">
            <w:pPr>
              <w:jc w:val="right"/>
              <w:rPr>
                <w:color w:val="000000"/>
              </w:rPr>
            </w:pPr>
            <w:r w:rsidRPr="00DE69C4">
              <w:rPr>
                <w:color w:val="000000"/>
              </w:rPr>
              <w:t>-895</w:t>
            </w:r>
          </w:p>
        </w:tc>
        <w:tc>
          <w:tcPr>
            <w:tcW w:w="1418" w:type="dxa"/>
            <w:tcBorders>
              <w:top w:val="nil"/>
              <w:left w:val="nil"/>
              <w:bottom w:val="single" w:sz="8" w:space="0" w:color="auto"/>
              <w:right w:val="single" w:sz="8" w:space="0" w:color="auto"/>
            </w:tcBorders>
            <w:shd w:val="clear" w:color="auto" w:fill="auto"/>
            <w:vAlign w:val="center"/>
            <w:hideMark/>
          </w:tcPr>
          <w:p w14:paraId="00E6D4D3" w14:textId="77777777" w:rsidR="00DE69C4" w:rsidRPr="00DE69C4" w:rsidRDefault="00BC5B1D" w:rsidP="00C248F1">
            <w:pPr>
              <w:jc w:val="right"/>
              <w:rPr>
                <w:color w:val="000000"/>
              </w:rPr>
            </w:pPr>
            <w:r w:rsidRPr="00DE69C4">
              <w:rPr>
                <w:color w:val="000000"/>
              </w:rPr>
              <w:t>-875</w:t>
            </w:r>
          </w:p>
        </w:tc>
        <w:tc>
          <w:tcPr>
            <w:tcW w:w="1276" w:type="dxa"/>
            <w:tcBorders>
              <w:top w:val="nil"/>
              <w:left w:val="nil"/>
              <w:bottom w:val="single" w:sz="8" w:space="0" w:color="auto"/>
              <w:right w:val="single" w:sz="8" w:space="0" w:color="auto"/>
            </w:tcBorders>
            <w:shd w:val="clear" w:color="auto" w:fill="auto"/>
            <w:vAlign w:val="center"/>
            <w:hideMark/>
          </w:tcPr>
          <w:p w14:paraId="327F58AD" w14:textId="77777777" w:rsidR="00DE69C4" w:rsidRPr="00DE69C4" w:rsidRDefault="00BC5B1D" w:rsidP="00C248F1">
            <w:pPr>
              <w:jc w:val="right"/>
              <w:rPr>
                <w:color w:val="000000"/>
              </w:rPr>
            </w:pPr>
            <w:r w:rsidRPr="00DE69C4">
              <w:rPr>
                <w:color w:val="000000"/>
              </w:rPr>
              <w:t>-515</w:t>
            </w:r>
          </w:p>
        </w:tc>
      </w:tr>
      <w:tr w:rsidR="00937FCD" w14:paraId="082D0554" w14:textId="77777777" w:rsidTr="00C248F1">
        <w:trPr>
          <w:trHeight w:val="315"/>
        </w:trPr>
        <w:tc>
          <w:tcPr>
            <w:tcW w:w="3757" w:type="dxa"/>
            <w:tcBorders>
              <w:top w:val="nil"/>
              <w:left w:val="single" w:sz="8" w:space="0" w:color="auto"/>
              <w:bottom w:val="single" w:sz="8" w:space="0" w:color="auto"/>
              <w:right w:val="single" w:sz="8" w:space="0" w:color="auto"/>
            </w:tcBorders>
            <w:shd w:val="clear" w:color="000000" w:fill="DBE5F1"/>
            <w:vAlign w:val="center"/>
            <w:hideMark/>
          </w:tcPr>
          <w:p w14:paraId="0B5EA592" w14:textId="77777777" w:rsidR="00DE69C4" w:rsidRPr="00DE69C4" w:rsidRDefault="00BC5B1D" w:rsidP="00DE69C4">
            <w:pPr>
              <w:rPr>
                <w:color w:val="000000"/>
              </w:rPr>
            </w:pPr>
            <w:r w:rsidRPr="00DE69C4">
              <w:rPr>
                <w:color w:val="000000"/>
              </w:rPr>
              <w:t>Borrowing requirement for capital</w:t>
            </w:r>
          </w:p>
        </w:tc>
        <w:tc>
          <w:tcPr>
            <w:tcW w:w="1418" w:type="dxa"/>
            <w:tcBorders>
              <w:top w:val="nil"/>
              <w:left w:val="nil"/>
              <w:bottom w:val="single" w:sz="8" w:space="0" w:color="auto"/>
              <w:right w:val="single" w:sz="8" w:space="0" w:color="auto"/>
            </w:tcBorders>
            <w:shd w:val="clear" w:color="000000" w:fill="DBE5F1"/>
            <w:vAlign w:val="center"/>
            <w:hideMark/>
          </w:tcPr>
          <w:p w14:paraId="49029553" w14:textId="77777777" w:rsidR="00DE69C4" w:rsidRPr="00DE69C4" w:rsidRDefault="00BC5B1D" w:rsidP="00C248F1">
            <w:pPr>
              <w:jc w:val="right"/>
              <w:rPr>
                <w:color w:val="000000"/>
              </w:rPr>
            </w:pPr>
            <w:r w:rsidRPr="00DE69C4">
              <w:t>-6</w:t>
            </w:r>
            <w:r w:rsidR="001A6588">
              <w:t>1</w:t>
            </w:r>
          </w:p>
        </w:tc>
        <w:tc>
          <w:tcPr>
            <w:tcW w:w="1619" w:type="dxa"/>
            <w:tcBorders>
              <w:top w:val="nil"/>
              <w:left w:val="nil"/>
              <w:bottom w:val="single" w:sz="8" w:space="0" w:color="auto"/>
              <w:right w:val="single" w:sz="8" w:space="0" w:color="auto"/>
            </w:tcBorders>
            <w:shd w:val="clear" w:color="000000" w:fill="DBE5F1"/>
            <w:vAlign w:val="center"/>
            <w:hideMark/>
          </w:tcPr>
          <w:p w14:paraId="03276F57" w14:textId="77777777" w:rsidR="00DE69C4" w:rsidRPr="00DE69C4" w:rsidRDefault="00BC5B1D" w:rsidP="00C248F1">
            <w:pPr>
              <w:jc w:val="right"/>
              <w:rPr>
                <w:color w:val="000000"/>
              </w:rPr>
            </w:pPr>
            <w:r w:rsidRPr="00DE69C4">
              <w:t>188</w:t>
            </w:r>
          </w:p>
        </w:tc>
        <w:tc>
          <w:tcPr>
            <w:tcW w:w="1418" w:type="dxa"/>
            <w:tcBorders>
              <w:top w:val="nil"/>
              <w:left w:val="nil"/>
              <w:bottom w:val="single" w:sz="8" w:space="0" w:color="auto"/>
              <w:right w:val="single" w:sz="8" w:space="0" w:color="auto"/>
            </w:tcBorders>
            <w:shd w:val="clear" w:color="000000" w:fill="DBE5F1"/>
            <w:vAlign w:val="center"/>
            <w:hideMark/>
          </w:tcPr>
          <w:p w14:paraId="1AE71C72" w14:textId="77777777" w:rsidR="00DE69C4" w:rsidRPr="00DE69C4" w:rsidRDefault="00BC5B1D" w:rsidP="00C248F1">
            <w:pPr>
              <w:jc w:val="right"/>
              <w:rPr>
                <w:color w:val="000000"/>
              </w:rPr>
            </w:pPr>
            <w:r w:rsidRPr="00DE69C4">
              <w:t>23</w:t>
            </w:r>
            <w:r w:rsidR="001A6588">
              <w:t>1</w:t>
            </w:r>
          </w:p>
        </w:tc>
        <w:tc>
          <w:tcPr>
            <w:tcW w:w="1276" w:type="dxa"/>
            <w:tcBorders>
              <w:top w:val="nil"/>
              <w:left w:val="nil"/>
              <w:bottom w:val="single" w:sz="8" w:space="0" w:color="auto"/>
              <w:right w:val="single" w:sz="8" w:space="0" w:color="auto"/>
            </w:tcBorders>
            <w:shd w:val="clear" w:color="000000" w:fill="DBE5F1"/>
            <w:vAlign w:val="center"/>
            <w:hideMark/>
          </w:tcPr>
          <w:p w14:paraId="2F3B11F7" w14:textId="77777777" w:rsidR="00DE69C4" w:rsidRPr="00DE69C4" w:rsidRDefault="00BC5B1D" w:rsidP="00C248F1">
            <w:pPr>
              <w:jc w:val="right"/>
              <w:rPr>
                <w:color w:val="000000"/>
              </w:rPr>
            </w:pPr>
            <w:r w:rsidRPr="00DE69C4">
              <w:t>614</w:t>
            </w:r>
          </w:p>
        </w:tc>
      </w:tr>
      <w:tr w:rsidR="00937FCD" w14:paraId="3EFD25B1" w14:textId="77777777" w:rsidTr="00C248F1">
        <w:trPr>
          <w:trHeight w:val="315"/>
        </w:trPr>
        <w:tc>
          <w:tcPr>
            <w:tcW w:w="3757" w:type="dxa"/>
            <w:tcBorders>
              <w:top w:val="nil"/>
              <w:left w:val="single" w:sz="8" w:space="0" w:color="auto"/>
              <w:bottom w:val="single" w:sz="8" w:space="0" w:color="auto"/>
              <w:right w:val="single" w:sz="8" w:space="0" w:color="auto"/>
            </w:tcBorders>
            <w:shd w:val="clear" w:color="auto" w:fill="auto"/>
            <w:vAlign w:val="center"/>
            <w:hideMark/>
          </w:tcPr>
          <w:p w14:paraId="42321DC4" w14:textId="77777777" w:rsidR="00DE69C4" w:rsidRPr="00DD6EC6" w:rsidRDefault="00BC5B1D" w:rsidP="00DE69C4">
            <w:pPr>
              <w:rPr>
                <w:color w:val="000000"/>
              </w:rPr>
            </w:pPr>
            <w:r w:rsidRPr="00DD6EC6">
              <w:rPr>
                <w:bCs/>
                <w:color w:val="000000"/>
              </w:rPr>
              <w:t>Other borrowing requirements*</w:t>
            </w:r>
          </w:p>
        </w:tc>
        <w:tc>
          <w:tcPr>
            <w:tcW w:w="1418" w:type="dxa"/>
            <w:tcBorders>
              <w:top w:val="nil"/>
              <w:left w:val="nil"/>
              <w:bottom w:val="single" w:sz="8" w:space="0" w:color="auto"/>
              <w:right w:val="single" w:sz="8" w:space="0" w:color="auto"/>
            </w:tcBorders>
            <w:shd w:val="clear" w:color="auto" w:fill="auto"/>
            <w:vAlign w:val="center"/>
            <w:hideMark/>
          </w:tcPr>
          <w:p w14:paraId="17ACAF2A" w14:textId="77777777" w:rsidR="00DE69C4" w:rsidRPr="00DD6EC6" w:rsidRDefault="00BC5B1D" w:rsidP="00C248F1">
            <w:pPr>
              <w:jc w:val="right"/>
              <w:rPr>
                <w:color w:val="000000"/>
              </w:rPr>
            </w:pPr>
            <w:r w:rsidRPr="00DD6EC6">
              <w:rPr>
                <w:color w:val="000000"/>
              </w:rPr>
              <w:t>82</w:t>
            </w:r>
          </w:p>
        </w:tc>
        <w:tc>
          <w:tcPr>
            <w:tcW w:w="1619" w:type="dxa"/>
            <w:tcBorders>
              <w:top w:val="nil"/>
              <w:left w:val="nil"/>
              <w:bottom w:val="single" w:sz="8" w:space="0" w:color="auto"/>
              <w:right w:val="single" w:sz="8" w:space="0" w:color="auto"/>
            </w:tcBorders>
            <w:shd w:val="clear" w:color="auto" w:fill="auto"/>
            <w:vAlign w:val="center"/>
            <w:hideMark/>
          </w:tcPr>
          <w:p w14:paraId="56C89242" w14:textId="77777777" w:rsidR="00DE69C4" w:rsidRPr="00DD6EC6" w:rsidRDefault="00BC5B1D" w:rsidP="00C248F1">
            <w:pPr>
              <w:jc w:val="right"/>
              <w:rPr>
                <w:color w:val="000000"/>
              </w:rPr>
            </w:pPr>
            <w:r w:rsidRPr="00DD6EC6">
              <w:rPr>
                <w:color w:val="000000"/>
              </w:rPr>
              <w:t>77</w:t>
            </w:r>
          </w:p>
        </w:tc>
        <w:tc>
          <w:tcPr>
            <w:tcW w:w="1418" w:type="dxa"/>
            <w:tcBorders>
              <w:top w:val="nil"/>
              <w:left w:val="nil"/>
              <w:bottom w:val="single" w:sz="8" w:space="0" w:color="auto"/>
              <w:right w:val="single" w:sz="8" w:space="0" w:color="auto"/>
            </w:tcBorders>
            <w:shd w:val="clear" w:color="auto" w:fill="auto"/>
            <w:vAlign w:val="center"/>
            <w:hideMark/>
          </w:tcPr>
          <w:p w14:paraId="679FCA10" w14:textId="77777777" w:rsidR="00DE69C4" w:rsidRPr="00DD6EC6" w:rsidRDefault="00BC5B1D" w:rsidP="00C248F1">
            <w:pPr>
              <w:jc w:val="right"/>
              <w:rPr>
                <w:color w:val="000000"/>
              </w:rPr>
            </w:pPr>
            <w:r w:rsidRPr="00DD6EC6">
              <w:rPr>
                <w:color w:val="000000"/>
              </w:rPr>
              <w:t>73</w:t>
            </w:r>
          </w:p>
        </w:tc>
        <w:tc>
          <w:tcPr>
            <w:tcW w:w="1276" w:type="dxa"/>
            <w:tcBorders>
              <w:top w:val="nil"/>
              <w:left w:val="nil"/>
              <w:bottom w:val="single" w:sz="8" w:space="0" w:color="auto"/>
              <w:right w:val="single" w:sz="8" w:space="0" w:color="auto"/>
            </w:tcBorders>
            <w:shd w:val="clear" w:color="auto" w:fill="auto"/>
            <w:vAlign w:val="center"/>
            <w:hideMark/>
          </w:tcPr>
          <w:p w14:paraId="7817AAB7" w14:textId="77777777" w:rsidR="00DE69C4" w:rsidRPr="00DD6EC6" w:rsidRDefault="00BC5B1D" w:rsidP="00C248F1">
            <w:pPr>
              <w:jc w:val="right"/>
              <w:rPr>
                <w:color w:val="000000"/>
              </w:rPr>
            </w:pPr>
            <w:r w:rsidRPr="00DD6EC6">
              <w:rPr>
                <w:color w:val="000000"/>
              </w:rPr>
              <w:t>69</w:t>
            </w:r>
          </w:p>
        </w:tc>
      </w:tr>
      <w:tr w:rsidR="00937FCD" w14:paraId="5411F7B5" w14:textId="77777777" w:rsidTr="00C248F1">
        <w:trPr>
          <w:trHeight w:val="315"/>
        </w:trPr>
        <w:tc>
          <w:tcPr>
            <w:tcW w:w="3757" w:type="dxa"/>
            <w:tcBorders>
              <w:top w:val="nil"/>
              <w:left w:val="single" w:sz="8" w:space="0" w:color="auto"/>
              <w:bottom w:val="single" w:sz="8" w:space="0" w:color="auto"/>
              <w:right w:val="single" w:sz="8" w:space="0" w:color="auto"/>
            </w:tcBorders>
            <w:shd w:val="clear" w:color="auto" w:fill="auto"/>
            <w:vAlign w:val="center"/>
          </w:tcPr>
          <w:p w14:paraId="109BD0D8" w14:textId="77777777" w:rsidR="00C4654D" w:rsidRPr="00C248F1" w:rsidRDefault="00BC5B1D" w:rsidP="00DE69C4">
            <w:pPr>
              <w:rPr>
                <w:b/>
                <w:bCs/>
                <w:color w:val="000000"/>
              </w:rPr>
            </w:pPr>
            <w:r w:rsidRPr="00C248F1">
              <w:rPr>
                <w:b/>
                <w:bCs/>
                <w:color w:val="000000"/>
              </w:rPr>
              <w:t>Total borrowing requirement</w:t>
            </w:r>
          </w:p>
        </w:tc>
        <w:tc>
          <w:tcPr>
            <w:tcW w:w="1418" w:type="dxa"/>
            <w:tcBorders>
              <w:top w:val="nil"/>
              <w:left w:val="nil"/>
              <w:bottom w:val="single" w:sz="8" w:space="0" w:color="auto"/>
              <w:right w:val="single" w:sz="8" w:space="0" w:color="auto"/>
            </w:tcBorders>
            <w:shd w:val="clear" w:color="auto" w:fill="auto"/>
            <w:vAlign w:val="center"/>
          </w:tcPr>
          <w:p w14:paraId="44A7A444" w14:textId="77777777" w:rsidR="00C4654D" w:rsidRPr="00C248F1" w:rsidRDefault="00BC5B1D" w:rsidP="00C248F1">
            <w:pPr>
              <w:jc w:val="right"/>
              <w:rPr>
                <w:b/>
                <w:bCs/>
                <w:color w:val="000000"/>
              </w:rPr>
            </w:pPr>
            <w:r w:rsidRPr="00C248F1">
              <w:rPr>
                <w:b/>
                <w:bCs/>
                <w:color w:val="000000"/>
              </w:rPr>
              <w:t>21</w:t>
            </w:r>
          </w:p>
        </w:tc>
        <w:tc>
          <w:tcPr>
            <w:tcW w:w="1619" w:type="dxa"/>
            <w:tcBorders>
              <w:top w:val="nil"/>
              <w:left w:val="nil"/>
              <w:bottom w:val="single" w:sz="8" w:space="0" w:color="auto"/>
              <w:right w:val="single" w:sz="8" w:space="0" w:color="auto"/>
            </w:tcBorders>
            <w:shd w:val="clear" w:color="auto" w:fill="auto"/>
            <w:vAlign w:val="center"/>
          </w:tcPr>
          <w:p w14:paraId="6E55AE93" w14:textId="77777777" w:rsidR="00C4654D" w:rsidRPr="00C248F1" w:rsidRDefault="00BC5B1D" w:rsidP="00C248F1">
            <w:pPr>
              <w:jc w:val="right"/>
              <w:rPr>
                <w:b/>
                <w:bCs/>
                <w:color w:val="000000"/>
              </w:rPr>
            </w:pPr>
            <w:r w:rsidRPr="00C248F1">
              <w:rPr>
                <w:b/>
                <w:bCs/>
                <w:color w:val="000000"/>
              </w:rPr>
              <w:t>265</w:t>
            </w:r>
          </w:p>
        </w:tc>
        <w:tc>
          <w:tcPr>
            <w:tcW w:w="1418" w:type="dxa"/>
            <w:tcBorders>
              <w:top w:val="nil"/>
              <w:left w:val="nil"/>
              <w:bottom w:val="single" w:sz="8" w:space="0" w:color="auto"/>
              <w:right w:val="single" w:sz="8" w:space="0" w:color="auto"/>
            </w:tcBorders>
            <w:shd w:val="clear" w:color="auto" w:fill="auto"/>
            <w:vAlign w:val="center"/>
          </w:tcPr>
          <w:p w14:paraId="6817307D" w14:textId="77777777" w:rsidR="00C4654D" w:rsidRPr="00C248F1" w:rsidRDefault="00BC5B1D" w:rsidP="00C248F1">
            <w:pPr>
              <w:jc w:val="right"/>
              <w:rPr>
                <w:b/>
                <w:bCs/>
                <w:color w:val="000000"/>
              </w:rPr>
            </w:pPr>
            <w:r w:rsidRPr="00C248F1">
              <w:rPr>
                <w:b/>
                <w:bCs/>
                <w:color w:val="000000"/>
              </w:rPr>
              <w:t>304</w:t>
            </w:r>
          </w:p>
        </w:tc>
        <w:tc>
          <w:tcPr>
            <w:tcW w:w="1276" w:type="dxa"/>
            <w:tcBorders>
              <w:top w:val="nil"/>
              <w:left w:val="nil"/>
              <w:bottom w:val="single" w:sz="8" w:space="0" w:color="auto"/>
              <w:right w:val="single" w:sz="8" w:space="0" w:color="auto"/>
            </w:tcBorders>
            <w:shd w:val="clear" w:color="auto" w:fill="auto"/>
            <w:vAlign w:val="center"/>
          </w:tcPr>
          <w:p w14:paraId="5CAC2B9C" w14:textId="77777777" w:rsidR="00C4654D" w:rsidRPr="00C248F1" w:rsidRDefault="00BC5B1D" w:rsidP="00C248F1">
            <w:pPr>
              <w:jc w:val="right"/>
              <w:rPr>
                <w:b/>
                <w:bCs/>
                <w:color w:val="000000"/>
              </w:rPr>
            </w:pPr>
            <w:r w:rsidRPr="00C248F1">
              <w:rPr>
                <w:b/>
                <w:bCs/>
                <w:color w:val="000000"/>
              </w:rPr>
              <w:t>683</w:t>
            </w:r>
          </w:p>
        </w:tc>
      </w:tr>
      <w:tr w:rsidR="00937FCD" w14:paraId="774B9E2C" w14:textId="77777777" w:rsidTr="00C248F1">
        <w:trPr>
          <w:trHeight w:val="315"/>
        </w:trPr>
        <w:tc>
          <w:tcPr>
            <w:tcW w:w="3757" w:type="dxa"/>
            <w:tcBorders>
              <w:top w:val="nil"/>
              <w:left w:val="single" w:sz="8" w:space="0" w:color="auto"/>
              <w:bottom w:val="single" w:sz="8" w:space="0" w:color="auto"/>
              <w:right w:val="single" w:sz="8" w:space="0" w:color="auto"/>
            </w:tcBorders>
            <w:shd w:val="clear" w:color="auto" w:fill="auto"/>
            <w:vAlign w:val="center"/>
            <w:hideMark/>
          </w:tcPr>
          <w:p w14:paraId="5058B425" w14:textId="77777777" w:rsidR="00DE69C4" w:rsidRPr="001A6588" w:rsidRDefault="00BC5B1D" w:rsidP="00DE69C4">
            <w:pPr>
              <w:rPr>
                <w:color w:val="000000"/>
              </w:rPr>
            </w:pPr>
            <w:r w:rsidRPr="001A6588">
              <w:rPr>
                <w:bCs/>
                <w:color w:val="000000"/>
              </w:rPr>
              <w:t>Reserves and working capital</w:t>
            </w:r>
          </w:p>
        </w:tc>
        <w:tc>
          <w:tcPr>
            <w:tcW w:w="1418" w:type="dxa"/>
            <w:tcBorders>
              <w:top w:val="nil"/>
              <w:left w:val="nil"/>
              <w:bottom w:val="single" w:sz="8" w:space="0" w:color="auto"/>
              <w:right w:val="single" w:sz="8" w:space="0" w:color="auto"/>
            </w:tcBorders>
            <w:shd w:val="clear" w:color="auto" w:fill="auto"/>
            <w:vAlign w:val="center"/>
            <w:hideMark/>
          </w:tcPr>
          <w:p w14:paraId="7603BDAA" w14:textId="77777777" w:rsidR="00DE69C4" w:rsidRPr="001A6588" w:rsidRDefault="00BC5B1D" w:rsidP="00C248F1">
            <w:pPr>
              <w:jc w:val="right"/>
              <w:rPr>
                <w:color w:val="000000"/>
              </w:rPr>
            </w:pPr>
            <w:r w:rsidRPr="001A6588">
              <w:rPr>
                <w:color w:val="000000"/>
              </w:rPr>
              <w:t>-</w:t>
            </w:r>
            <w:r w:rsidR="001A6588" w:rsidRPr="001A6588">
              <w:rPr>
                <w:color w:val="000000"/>
              </w:rPr>
              <w:t>7</w:t>
            </w:r>
            <w:r w:rsidRPr="001A6588">
              <w:rPr>
                <w:color w:val="000000"/>
              </w:rPr>
              <w:t>50</w:t>
            </w:r>
          </w:p>
        </w:tc>
        <w:tc>
          <w:tcPr>
            <w:tcW w:w="1619" w:type="dxa"/>
            <w:tcBorders>
              <w:top w:val="nil"/>
              <w:left w:val="nil"/>
              <w:bottom w:val="single" w:sz="8" w:space="0" w:color="auto"/>
              <w:right w:val="single" w:sz="8" w:space="0" w:color="auto"/>
            </w:tcBorders>
            <w:shd w:val="clear" w:color="auto" w:fill="auto"/>
            <w:vAlign w:val="center"/>
            <w:hideMark/>
          </w:tcPr>
          <w:p w14:paraId="089014E1" w14:textId="77777777" w:rsidR="00DE69C4" w:rsidRPr="001A6588" w:rsidRDefault="00BC5B1D" w:rsidP="00C248F1">
            <w:pPr>
              <w:jc w:val="right"/>
              <w:rPr>
                <w:color w:val="000000"/>
              </w:rPr>
            </w:pPr>
            <w:r w:rsidRPr="001A6588">
              <w:rPr>
                <w:color w:val="000000"/>
              </w:rPr>
              <w:t>-</w:t>
            </w:r>
            <w:r w:rsidR="001A6588" w:rsidRPr="001A6588">
              <w:rPr>
                <w:color w:val="000000"/>
              </w:rPr>
              <w:t>700</w:t>
            </w:r>
          </w:p>
        </w:tc>
        <w:tc>
          <w:tcPr>
            <w:tcW w:w="1418" w:type="dxa"/>
            <w:tcBorders>
              <w:top w:val="nil"/>
              <w:left w:val="nil"/>
              <w:bottom w:val="single" w:sz="8" w:space="0" w:color="auto"/>
              <w:right w:val="single" w:sz="8" w:space="0" w:color="auto"/>
            </w:tcBorders>
            <w:shd w:val="clear" w:color="auto" w:fill="auto"/>
            <w:vAlign w:val="center"/>
            <w:hideMark/>
          </w:tcPr>
          <w:p w14:paraId="1A7DA16E" w14:textId="77777777" w:rsidR="00DE69C4" w:rsidRPr="001A6588" w:rsidRDefault="00BC5B1D" w:rsidP="00C248F1">
            <w:pPr>
              <w:jc w:val="right"/>
              <w:rPr>
                <w:color w:val="000000"/>
              </w:rPr>
            </w:pPr>
            <w:r w:rsidRPr="001A6588">
              <w:rPr>
                <w:color w:val="000000"/>
              </w:rPr>
              <w:t>-</w:t>
            </w:r>
            <w:r w:rsidR="001A6588" w:rsidRPr="001A6588">
              <w:rPr>
                <w:color w:val="000000"/>
              </w:rPr>
              <w:t>700</w:t>
            </w:r>
          </w:p>
        </w:tc>
        <w:tc>
          <w:tcPr>
            <w:tcW w:w="1276" w:type="dxa"/>
            <w:tcBorders>
              <w:top w:val="nil"/>
              <w:left w:val="nil"/>
              <w:bottom w:val="single" w:sz="8" w:space="0" w:color="auto"/>
              <w:right w:val="single" w:sz="8" w:space="0" w:color="auto"/>
            </w:tcBorders>
            <w:shd w:val="clear" w:color="auto" w:fill="auto"/>
            <w:vAlign w:val="center"/>
            <w:hideMark/>
          </w:tcPr>
          <w:p w14:paraId="60A6BA72" w14:textId="77777777" w:rsidR="00DE69C4" w:rsidRPr="001A6588" w:rsidRDefault="00BC5B1D" w:rsidP="00C248F1">
            <w:pPr>
              <w:jc w:val="right"/>
              <w:rPr>
                <w:color w:val="000000"/>
              </w:rPr>
            </w:pPr>
            <w:r w:rsidRPr="001A6588">
              <w:rPr>
                <w:color w:val="000000"/>
              </w:rPr>
              <w:t>-</w:t>
            </w:r>
            <w:r w:rsidR="001A6588" w:rsidRPr="001A6588">
              <w:rPr>
                <w:color w:val="000000"/>
              </w:rPr>
              <w:t>700</w:t>
            </w:r>
          </w:p>
        </w:tc>
      </w:tr>
      <w:tr w:rsidR="00937FCD" w14:paraId="33463337" w14:textId="77777777" w:rsidTr="00C248F1">
        <w:trPr>
          <w:trHeight w:val="315"/>
        </w:trPr>
        <w:tc>
          <w:tcPr>
            <w:tcW w:w="3757" w:type="dxa"/>
            <w:tcBorders>
              <w:top w:val="nil"/>
              <w:left w:val="single" w:sz="8" w:space="0" w:color="auto"/>
              <w:bottom w:val="single" w:sz="8" w:space="0" w:color="auto"/>
              <w:right w:val="single" w:sz="8" w:space="0" w:color="auto"/>
            </w:tcBorders>
            <w:shd w:val="clear" w:color="000000" w:fill="DBE5F1"/>
            <w:vAlign w:val="center"/>
            <w:hideMark/>
          </w:tcPr>
          <w:p w14:paraId="2AFFFA5E" w14:textId="77777777" w:rsidR="00DE69C4" w:rsidRPr="001A6588" w:rsidRDefault="00BC5B1D" w:rsidP="00DE69C4">
            <w:pPr>
              <w:rPr>
                <w:color w:val="000000"/>
              </w:rPr>
            </w:pPr>
            <w:r w:rsidRPr="001A6588">
              <w:rPr>
                <w:color w:val="000000"/>
              </w:rPr>
              <w:t xml:space="preserve">Borrowing/ - Investment need </w:t>
            </w:r>
          </w:p>
        </w:tc>
        <w:tc>
          <w:tcPr>
            <w:tcW w:w="1418" w:type="dxa"/>
            <w:tcBorders>
              <w:top w:val="nil"/>
              <w:left w:val="nil"/>
              <w:bottom w:val="single" w:sz="8" w:space="0" w:color="auto"/>
              <w:right w:val="single" w:sz="8" w:space="0" w:color="auto"/>
            </w:tcBorders>
            <w:shd w:val="clear" w:color="000000" w:fill="DBE5F1"/>
            <w:vAlign w:val="center"/>
            <w:hideMark/>
          </w:tcPr>
          <w:p w14:paraId="3934AFB5" w14:textId="77777777" w:rsidR="00DE69C4" w:rsidRPr="001A6588" w:rsidRDefault="00BC5B1D" w:rsidP="00C248F1">
            <w:pPr>
              <w:jc w:val="right"/>
              <w:rPr>
                <w:color w:val="000000"/>
              </w:rPr>
            </w:pPr>
            <w:r w:rsidRPr="001A6588">
              <w:t>-</w:t>
            </w:r>
            <w:r w:rsidR="001A6588">
              <w:t>729</w:t>
            </w:r>
          </w:p>
        </w:tc>
        <w:tc>
          <w:tcPr>
            <w:tcW w:w="1619" w:type="dxa"/>
            <w:tcBorders>
              <w:top w:val="nil"/>
              <w:left w:val="nil"/>
              <w:bottom w:val="single" w:sz="8" w:space="0" w:color="auto"/>
              <w:right w:val="single" w:sz="8" w:space="0" w:color="auto"/>
            </w:tcBorders>
            <w:shd w:val="clear" w:color="000000" w:fill="DBE5F1"/>
            <w:vAlign w:val="center"/>
            <w:hideMark/>
          </w:tcPr>
          <w:p w14:paraId="35457823" w14:textId="77777777" w:rsidR="00DE69C4" w:rsidRPr="001A6588" w:rsidRDefault="00BC5B1D" w:rsidP="00C248F1">
            <w:pPr>
              <w:jc w:val="right"/>
              <w:rPr>
                <w:color w:val="000000"/>
              </w:rPr>
            </w:pPr>
            <w:r w:rsidRPr="001A6588">
              <w:t>-</w:t>
            </w:r>
            <w:r w:rsidR="001A6588">
              <w:t>435</w:t>
            </w:r>
          </w:p>
        </w:tc>
        <w:tc>
          <w:tcPr>
            <w:tcW w:w="1418" w:type="dxa"/>
            <w:tcBorders>
              <w:top w:val="nil"/>
              <w:left w:val="nil"/>
              <w:bottom w:val="single" w:sz="8" w:space="0" w:color="auto"/>
              <w:right w:val="single" w:sz="8" w:space="0" w:color="auto"/>
            </w:tcBorders>
            <w:shd w:val="clear" w:color="000000" w:fill="DBE5F1"/>
            <w:vAlign w:val="center"/>
            <w:hideMark/>
          </w:tcPr>
          <w:p w14:paraId="451EB832" w14:textId="77777777" w:rsidR="00DE69C4" w:rsidRPr="001A6588" w:rsidRDefault="00BC5B1D" w:rsidP="00C248F1">
            <w:pPr>
              <w:jc w:val="right"/>
              <w:rPr>
                <w:color w:val="000000"/>
              </w:rPr>
            </w:pPr>
            <w:r w:rsidRPr="001A6588">
              <w:t>-</w:t>
            </w:r>
            <w:r w:rsidR="001A6588">
              <w:t>396</w:t>
            </w:r>
          </w:p>
        </w:tc>
        <w:tc>
          <w:tcPr>
            <w:tcW w:w="1276" w:type="dxa"/>
            <w:tcBorders>
              <w:top w:val="nil"/>
              <w:left w:val="nil"/>
              <w:bottom w:val="single" w:sz="8" w:space="0" w:color="auto"/>
              <w:right w:val="single" w:sz="8" w:space="0" w:color="auto"/>
            </w:tcBorders>
            <w:shd w:val="clear" w:color="000000" w:fill="DBE5F1"/>
            <w:vAlign w:val="center"/>
            <w:hideMark/>
          </w:tcPr>
          <w:p w14:paraId="468D3C11" w14:textId="77777777" w:rsidR="00DE69C4" w:rsidRPr="001A6588" w:rsidRDefault="00BC5B1D" w:rsidP="00C248F1">
            <w:pPr>
              <w:jc w:val="right"/>
              <w:rPr>
                <w:color w:val="000000"/>
              </w:rPr>
            </w:pPr>
            <w:r>
              <w:t>-17</w:t>
            </w:r>
          </w:p>
        </w:tc>
      </w:tr>
    </w:tbl>
    <w:p w14:paraId="2727930F" w14:textId="77777777" w:rsidR="00C742C9" w:rsidRPr="00421CEC" w:rsidRDefault="00BC5B1D" w:rsidP="00C742C9">
      <w:pPr>
        <w:jc w:val="both"/>
        <w:rPr>
          <w:bCs/>
          <w:sz w:val="20"/>
          <w:szCs w:val="20"/>
        </w:rPr>
      </w:pPr>
      <w:r w:rsidRPr="00421CEC">
        <w:rPr>
          <w:bCs/>
          <w:sz w:val="20"/>
          <w:szCs w:val="20"/>
        </w:rPr>
        <w:t>* debt held on behalf other local authorities and premiums</w:t>
      </w:r>
    </w:p>
    <w:p w14:paraId="34416444" w14:textId="77777777" w:rsidR="002475DB" w:rsidRPr="00044115" w:rsidRDefault="002475DB" w:rsidP="00C742C9">
      <w:pPr>
        <w:jc w:val="both"/>
        <w:rPr>
          <w:bCs/>
          <w:sz w:val="20"/>
          <w:szCs w:val="20"/>
          <w:highlight w:val="green"/>
        </w:rPr>
      </w:pPr>
    </w:p>
    <w:p w14:paraId="4BB058EC" w14:textId="77777777" w:rsidR="002475DB" w:rsidRDefault="00BC5B1D" w:rsidP="00C742C9">
      <w:pPr>
        <w:jc w:val="both"/>
        <w:rPr>
          <w:bCs/>
        </w:rPr>
      </w:pPr>
      <w:r w:rsidRPr="00421CEC">
        <w:rPr>
          <w:bCs/>
        </w:rPr>
        <w:t xml:space="preserve">The table </w:t>
      </w:r>
      <w:r w:rsidR="0006757F">
        <w:rPr>
          <w:bCs/>
        </w:rPr>
        <w:t xml:space="preserve">above </w:t>
      </w:r>
      <w:r w:rsidRPr="00421CEC">
        <w:rPr>
          <w:bCs/>
        </w:rPr>
        <w:t>shows that there is a</w:t>
      </w:r>
      <w:r w:rsidR="00420162" w:rsidRPr="00421CEC">
        <w:rPr>
          <w:bCs/>
        </w:rPr>
        <w:t>n</w:t>
      </w:r>
      <w:r w:rsidRPr="00421CEC">
        <w:rPr>
          <w:bCs/>
        </w:rPr>
        <w:t xml:space="preserve"> identified need for borrowing from 202</w:t>
      </w:r>
      <w:r w:rsidR="0001009A" w:rsidRPr="00421CEC">
        <w:rPr>
          <w:bCs/>
        </w:rPr>
        <w:t>2</w:t>
      </w:r>
      <w:r w:rsidRPr="00421CEC">
        <w:rPr>
          <w:bCs/>
        </w:rPr>
        <w:t>/2</w:t>
      </w:r>
      <w:r w:rsidR="0001009A" w:rsidRPr="00421CEC">
        <w:rPr>
          <w:bCs/>
        </w:rPr>
        <w:t>3</w:t>
      </w:r>
      <w:r w:rsidR="0006757F">
        <w:rPr>
          <w:bCs/>
        </w:rPr>
        <w:t xml:space="preserve"> if all reserves are cash backed which is the general policy adopted by the county council. However, an alternative would be</w:t>
      </w:r>
      <w:r w:rsidRPr="00421CEC">
        <w:rPr>
          <w:bCs/>
        </w:rPr>
        <w:t xml:space="preserve"> to use internal reserves</w:t>
      </w:r>
      <w:r w:rsidR="0006757F">
        <w:rPr>
          <w:bCs/>
        </w:rPr>
        <w:t xml:space="preserve"> which is demonstrated by the liability benchmark which is </w:t>
      </w:r>
      <w:r w:rsidR="003246C9">
        <w:rPr>
          <w:bCs/>
        </w:rPr>
        <w:t xml:space="preserve">a </w:t>
      </w:r>
      <w:r w:rsidR="0006757F">
        <w:rPr>
          <w:bCs/>
        </w:rPr>
        <w:t xml:space="preserve">proposed </w:t>
      </w:r>
      <w:r w:rsidR="003246C9">
        <w:rPr>
          <w:bCs/>
        </w:rPr>
        <w:t xml:space="preserve">indicator </w:t>
      </w:r>
      <w:r w:rsidR="0006757F">
        <w:rPr>
          <w:bCs/>
        </w:rPr>
        <w:t>in the Prudential Code</w:t>
      </w:r>
      <w:r w:rsidRPr="00421CEC">
        <w:rPr>
          <w:bCs/>
        </w:rPr>
        <w:t>.</w:t>
      </w:r>
    </w:p>
    <w:p w14:paraId="475035DE" w14:textId="77777777" w:rsidR="00947062" w:rsidRDefault="00947062" w:rsidP="00C742C9">
      <w:pPr>
        <w:jc w:val="both"/>
        <w:rPr>
          <w:bCs/>
        </w:rPr>
      </w:pPr>
    </w:p>
    <w:p w14:paraId="6B2F6135" w14:textId="77777777" w:rsidR="0006757F" w:rsidRPr="0006757F" w:rsidRDefault="00BC5B1D" w:rsidP="00FD524C">
      <w:pPr>
        <w:jc w:val="both"/>
        <w:rPr>
          <w:b/>
        </w:rPr>
      </w:pPr>
      <w:r w:rsidRPr="0006757F">
        <w:rPr>
          <w:b/>
        </w:rPr>
        <w:t>Li</w:t>
      </w:r>
      <w:r w:rsidRPr="0006757F">
        <w:rPr>
          <w:b/>
        </w:rPr>
        <w:t>ability benchmark</w:t>
      </w:r>
    </w:p>
    <w:p w14:paraId="13B12D1C" w14:textId="77777777" w:rsidR="0006757F" w:rsidRDefault="0006757F" w:rsidP="00FD524C">
      <w:pPr>
        <w:jc w:val="both"/>
        <w:rPr>
          <w:rFonts w:ascii="Trebuchet MS" w:hAnsi="Trebuchet MS"/>
          <w:b/>
          <w:sz w:val="20"/>
          <w:szCs w:val="20"/>
        </w:rPr>
      </w:pPr>
    </w:p>
    <w:p w14:paraId="0F1C5295" w14:textId="77777777" w:rsidR="00FD524C" w:rsidRPr="006E3007" w:rsidRDefault="00BC5B1D" w:rsidP="00FD524C">
      <w:pPr>
        <w:jc w:val="both"/>
        <w:rPr>
          <w:rFonts w:ascii="Trebuchet MS" w:hAnsi="Trebuchet MS"/>
          <w:sz w:val="20"/>
          <w:szCs w:val="20"/>
        </w:rPr>
      </w:pPr>
      <w:r w:rsidRPr="006773F7">
        <w:t xml:space="preserve">To compare the Council’s actual borrowing against an alternative strategy, a liability benchmark has been calculated showing the lowest risk level of borrowing. This assumes the same forecasts as </w:t>
      </w:r>
      <w:r w:rsidR="00483A66">
        <w:t xml:space="preserve">the </w:t>
      </w:r>
      <w:r w:rsidRPr="006773F7">
        <w:t>table</w:t>
      </w:r>
      <w:r w:rsidR="00C4654D">
        <w:t xml:space="preserve"> </w:t>
      </w:r>
      <w:r w:rsidRPr="006773F7">
        <w:t>above, but that cash and invest</w:t>
      </w:r>
      <w:r w:rsidRPr="006773F7">
        <w:t xml:space="preserve">ment balances are kept to a minimum level of </w:t>
      </w:r>
      <w:r w:rsidR="0006757F">
        <w:t>£50</w:t>
      </w:r>
      <w:r w:rsidRPr="006773F7">
        <w:t>m at each year-end to maintain sufficient liquidity.</w:t>
      </w:r>
      <w:r w:rsidR="006D78D7">
        <w:t xml:space="preserve"> </w:t>
      </w:r>
      <w:r w:rsidR="00483A66">
        <w:t>The liability benchmark is shown</w:t>
      </w:r>
      <w:r w:rsidR="006D78D7">
        <w:t xml:space="preserve"> </w:t>
      </w:r>
      <w:r w:rsidR="00483A66">
        <w:t xml:space="preserve">in the </w:t>
      </w:r>
      <w:r w:rsidR="006D78D7">
        <w:t>graph below:</w:t>
      </w:r>
    </w:p>
    <w:p w14:paraId="4C98D593" w14:textId="77777777" w:rsidR="00FD524C" w:rsidRPr="006330B4" w:rsidRDefault="00FD524C" w:rsidP="00FD524C">
      <w:pPr>
        <w:jc w:val="both"/>
      </w:pPr>
    </w:p>
    <w:p w14:paraId="1E465221" w14:textId="77777777" w:rsidR="00FD524C" w:rsidRDefault="00FD524C" w:rsidP="00FD524C">
      <w:pPr>
        <w:jc w:val="both"/>
        <w:rPr>
          <w:highlight w:val="green"/>
        </w:rPr>
      </w:pPr>
    </w:p>
    <w:p w14:paraId="0AC97AC8" w14:textId="77777777" w:rsidR="00FD524C" w:rsidRDefault="00BC5B1D" w:rsidP="00FD524C">
      <w:pPr>
        <w:jc w:val="both"/>
        <w:rPr>
          <w:highlight w:val="green"/>
        </w:rPr>
      </w:pPr>
      <w:r>
        <w:rPr>
          <w:noProof/>
        </w:rPr>
        <w:drawing>
          <wp:inline distT="0" distB="0" distL="0" distR="0" wp14:anchorId="2068BB65" wp14:editId="6CE9D0C7">
            <wp:extent cx="5731510" cy="3422015"/>
            <wp:effectExtent l="0" t="0" r="2540" b="6985"/>
            <wp:docPr id="2" name="Chart 2">
              <a:extLst xmlns:a="http://schemas.openxmlformats.org/drawingml/2006/main">
                <a:ext uri="{FF2B5EF4-FFF2-40B4-BE49-F238E27FC236}">
                  <a16:creationId xmlns:a16="http://schemas.microsoft.com/office/drawing/2014/main" id="{E76F2DE5-BE20-42CA-8C6B-5A9E93756F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78065F" w14:textId="77777777" w:rsidR="00FD524C" w:rsidRDefault="00FD524C" w:rsidP="00FD524C">
      <w:pPr>
        <w:jc w:val="both"/>
        <w:rPr>
          <w:highlight w:val="green"/>
        </w:rPr>
      </w:pPr>
    </w:p>
    <w:p w14:paraId="0D9961CD" w14:textId="77777777" w:rsidR="00FD524C" w:rsidRPr="00483A66" w:rsidRDefault="00BC5B1D" w:rsidP="00FD524C">
      <w:pPr>
        <w:jc w:val="both"/>
      </w:pPr>
      <w:r w:rsidRPr="00483A66">
        <w:t xml:space="preserve">The liability benchmark graph </w:t>
      </w:r>
      <w:r>
        <w:t xml:space="preserve">above </w:t>
      </w:r>
      <w:r w:rsidRPr="00483A66">
        <w:t xml:space="preserve">shows that </w:t>
      </w:r>
      <w:r>
        <w:t>although the existing debt falls below the CFR it would be above the liability benchmark until 2024/25. This suggests that that there is actually</w:t>
      </w:r>
      <w:r w:rsidR="00C4654D">
        <w:t xml:space="preserve"> </w:t>
      </w:r>
      <w:r>
        <w:t>no need to undertake borrowing in 2023/24 but instead investments could be reduced to meet the cash flow requi</w:t>
      </w:r>
      <w:r>
        <w:t xml:space="preserve">rements. It is also worth noting that even when the debt falls below the benchmark it is for a relatively short period </w:t>
      </w:r>
      <w:r w:rsidR="006D78D7">
        <w:t xml:space="preserve">(up to 10 years) </w:t>
      </w:r>
      <w:r>
        <w:t>and that in the longer</w:t>
      </w:r>
      <w:r w:rsidR="00F81FB6">
        <w:t>-</w:t>
      </w:r>
      <w:r>
        <w:t>term current debt is already above the benchmark which implies that any new borrowing in line wit</w:t>
      </w:r>
      <w:r>
        <w:t>h the liability benchmark should be of a fairly short duration.</w:t>
      </w:r>
    </w:p>
    <w:p w14:paraId="5049AF8B" w14:textId="77777777" w:rsidR="006A6B4D" w:rsidRDefault="006A6B4D" w:rsidP="00C742C9">
      <w:pPr>
        <w:rPr>
          <w:b/>
          <w:sz w:val="28"/>
          <w:szCs w:val="28"/>
        </w:rPr>
      </w:pPr>
    </w:p>
    <w:p w14:paraId="35E03892" w14:textId="77777777" w:rsidR="00C742C9" w:rsidRDefault="00BC5B1D" w:rsidP="00C742C9">
      <w:pPr>
        <w:rPr>
          <w:b/>
          <w:sz w:val="28"/>
          <w:szCs w:val="28"/>
        </w:rPr>
      </w:pPr>
      <w:r w:rsidRPr="00421CEC">
        <w:rPr>
          <w:b/>
          <w:sz w:val="28"/>
          <w:szCs w:val="28"/>
        </w:rPr>
        <w:t>Borrowing Strategy</w:t>
      </w:r>
    </w:p>
    <w:p w14:paraId="75E7010B" w14:textId="77777777" w:rsidR="00EA5480" w:rsidRDefault="00EA5480" w:rsidP="00C742C9">
      <w:pPr>
        <w:rPr>
          <w:b/>
          <w:sz w:val="28"/>
          <w:szCs w:val="28"/>
        </w:rPr>
      </w:pPr>
    </w:p>
    <w:p w14:paraId="3A1FF231" w14:textId="77777777" w:rsidR="00EA5480" w:rsidRPr="00EA5480" w:rsidRDefault="00BC5B1D" w:rsidP="00F81FB6">
      <w:pPr>
        <w:jc w:val="both"/>
        <w:rPr>
          <w:bCs/>
        </w:rPr>
      </w:pPr>
      <w:r w:rsidRPr="00EA5480">
        <w:rPr>
          <w:bCs/>
        </w:rPr>
        <w:t>As indi</w:t>
      </w:r>
      <w:r>
        <w:rPr>
          <w:bCs/>
        </w:rPr>
        <w:t xml:space="preserve">cated earlier in the report there is a current </w:t>
      </w:r>
      <w:r w:rsidR="006D7A40">
        <w:rPr>
          <w:bCs/>
        </w:rPr>
        <w:t>borrowing</w:t>
      </w:r>
      <w:r>
        <w:rPr>
          <w:bCs/>
        </w:rPr>
        <w:t xml:space="preserve"> holding of £1,2</w:t>
      </w:r>
      <w:r w:rsidR="00C4654D">
        <w:rPr>
          <w:bCs/>
        </w:rPr>
        <w:t>3</w:t>
      </w:r>
      <w:r>
        <w:rPr>
          <w:bCs/>
        </w:rPr>
        <w:t xml:space="preserve">2m. </w:t>
      </w:r>
      <w:r w:rsidR="0064760B" w:rsidRPr="0064760B">
        <w:rPr>
          <w:bCs/>
        </w:rPr>
        <w:t>It has been noted that under the liability benchmark model there is probably no need to borrow in 2022/23</w:t>
      </w:r>
      <w:r w:rsidR="0064760B">
        <w:rPr>
          <w:bCs/>
        </w:rPr>
        <w:t xml:space="preserve"> to meet the capital needs in the year</w:t>
      </w:r>
      <w:r w:rsidR="0064760B" w:rsidRPr="0064760B">
        <w:rPr>
          <w:bCs/>
        </w:rPr>
        <w:t xml:space="preserve">. However, this is only one </w:t>
      </w:r>
      <w:r w:rsidR="0064760B" w:rsidRPr="0064760B">
        <w:rPr>
          <w:bCs/>
        </w:rPr>
        <w:lastRenderedPageBreak/>
        <w:t xml:space="preserve">model </w:t>
      </w:r>
      <w:r w:rsidR="006D7A40">
        <w:rPr>
          <w:bCs/>
        </w:rPr>
        <w:t xml:space="preserve">for treasury management. Alternatively, </w:t>
      </w:r>
      <w:r w:rsidR="0064760B" w:rsidRPr="0064760B">
        <w:rPr>
          <w:bCs/>
        </w:rPr>
        <w:t xml:space="preserve">the </w:t>
      </w:r>
      <w:r w:rsidR="006D7A40">
        <w:rPr>
          <w:bCs/>
        </w:rPr>
        <w:t>council</w:t>
      </w:r>
      <w:r w:rsidR="0064760B" w:rsidRPr="0064760B">
        <w:rPr>
          <w:bCs/>
        </w:rPr>
        <w:t xml:space="preserve"> can maintain a level of investments and look to borrow to cover its capital needs. With the impact of new capital schemes in the programme and the need to replace maturing debt there is an estimated borrowing requirement of </w:t>
      </w:r>
      <w:r w:rsidR="006D7A40">
        <w:rPr>
          <w:bCs/>
        </w:rPr>
        <w:t>approximately</w:t>
      </w:r>
      <w:r w:rsidR="0064760B" w:rsidRPr="0064760B">
        <w:rPr>
          <w:bCs/>
        </w:rPr>
        <w:t xml:space="preserve"> £2</w:t>
      </w:r>
      <w:r w:rsidR="001A6588">
        <w:rPr>
          <w:bCs/>
        </w:rPr>
        <w:t>50</w:t>
      </w:r>
      <w:r w:rsidR="0064760B" w:rsidRPr="0064760B">
        <w:rPr>
          <w:bCs/>
        </w:rPr>
        <w:t>m in 2022/23.</w:t>
      </w:r>
    </w:p>
    <w:p w14:paraId="769B0A8E" w14:textId="77777777" w:rsidR="00C742C9" w:rsidRPr="00EA5480" w:rsidRDefault="00C742C9" w:rsidP="00C742C9">
      <w:pPr>
        <w:rPr>
          <w:bCs/>
          <w:highlight w:val="green"/>
        </w:rPr>
      </w:pPr>
    </w:p>
    <w:p w14:paraId="34F0D1BD" w14:textId="77777777" w:rsidR="005B23AB" w:rsidRDefault="00BC5B1D" w:rsidP="00C742C9">
      <w:pPr>
        <w:jc w:val="both"/>
        <w:rPr>
          <w:highlight w:val="green"/>
        </w:rPr>
      </w:pPr>
      <w:r w:rsidRPr="006D78D7">
        <w:t xml:space="preserve">The borrowing strategy will be determined by the impact of the economic climate on the </w:t>
      </w:r>
      <w:r w:rsidRPr="006D78D7">
        <w:t>prevailing cost and availability of borrowing</w:t>
      </w:r>
      <w:r w:rsidR="0064760B">
        <w:t xml:space="preserve"> and the level </w:t>
      </w:r>
      <w:r w:rsidR="006D7A40">
        <w:t xml:space="preserve">at </w:t>
      </w:r>
      <w:r w:rsidR="0064760B">
        <w:t xml:space="preserve">which it is considered appropriate to maintain investments. </w:t>
      </w:r>
      <w:r w:rsidRPr="00675904">
        <w:t xml:space="preserve">The council will continue to ensure the borrowing needs are met while balancing the aims to keep </w:t>
      </w:r>
      <w:r w:rsidR="0064760B">
        <w:t xml:space="preserve">net </w:t>
      </w:r>
      <w:r w:rsidRPr="00675904">
        <w:t xml:space="preserve">costs as low as possible in the </w:t>
      </w:r>
      <w:r w:rsidRPr="00675904">
        <w:t>short term and providing certainty of cost over the long term.</w:t>
      </w:r>
    </w:p>
    <w:p w14:paraId="15AB05B9" w14:textId="77777777" w:rsidR="005021C1" w:rsidRPr="00044115" w:rsidRDefault="005021C1" w:rsidP="00C742C9">
      <w:pPr>
        <w:jc w:val="both"/>
        <w:rPr>
          <w:highlight w:val="green"/>
        </w:rPr>
      </w:pPr>
    </w:p>
    <w:p w14:paraId="5D073750" w14:textId="77777777" w:rsidR="00C742C9" w:rsidRPr="00DE69C4" w:rsidRDefault="00BC5B1D" w:rsidP="00C742C9">
      <w:pPr>
        <w:jc w:val="both"/>
      </w:pPr>
      <w:r w:rsidRPr="00DE69C4">
        <w:t>With short-term interest rates currently lower than long-term rates, it has been more cost effective to borrow short-term.</w:t>
      </w:r>
      <w:r w:rsidR="00FA663D" w:rsidRPr="00DE69C4">
        <w:t xml:space="preserve"> </w:t>
      </w:r>
      <w:r w:rsidRPr="00DE69C4">
        <w:t>Given the economic outlook, significant increases in interest rates a</w:t>
      </w:r>
      <w:r w:rsidRPr="00DE69C4">
        <w:t xml:space="preserve">re not forecast in the medium term, </w:t>
      </w:r>
      <w:r w:rsidR="005021C1" w:rsidRPr="00DE69C4">
        <w:t>it is anticipated that short term borrowing will still form a significant part of the debt portfolio.</w:t>
      </w:r>
      <w:r w:rsidRPr="00DE69C4">
        <w:t xml:space="preserve"> However, there is significant economic uncertainty and rates are at historically low levels. Therefore</w:t>
      </w:r>
      <w:r w:rsidR="0064760B">
        <w:t>, in the last couple of years</w:t>
      </w:r>
      <w:r w:rsidRPr="00DE69C4">
        <w:t xml:space="preserve"> the </w:t>
      </w:r>
      <w:r w:rsidR="00C17149" w:rsidRPr="00DE69C4">
        <w:t>council has moved to secure greater certainty of costs and reduce the re-financing risk in its debt portfolio by taking some long</w:t>
      </w:r>
      <w:r w:rsidR="00F81FB6">
        <w:t>-</w:t>
      </w:r>
      <w:r w:rsidR="00C17149" w:rsidRPr="00DE69C4">
        <w:t>term debt</w:t>
      </w:r>
      <w:r w:rsidR="004D2AF1">
        <w:t xml:space="preserve"> including the issuance of a 40</w:t>
      </w:r>
      <w:r w:rsidR="00F81FB6">
        <w:t>-</w:t>
      </w:r>
      <w:r w:rsidR="004D2AF1">
        <w:t>year bond. This has resulted in the long</w:t>
      </w:r>
      <w:r w:rsidR="00F81FB6">
        <w:t>-</w:t>
      </w:r>
      <w:r w:rsidR="004D2AF1">
        <w:t>term debt exceeding the estimated CFR</w:t>
      </w:r>
      <w:r w:rsidR="004D2AF1" w:rsidRPr="004D2AF1">
        <w:t xml:space="preserve">. </w:t>
      </w:r>
      <w:r w:rsidR="004D2AF1">
        <w:t>I</w:t>
      </w:r>
      <w:r w:rsidR="004D2AF1" w:rsidRPr="004D2AF1">
        <w:t xml:space="preserve">t is anticipated that there will be new borrowing to fund capital programmes beyond </w:t>
      </w:r>
      <w:r w:rsidR="004D2AF1">
        <w:t>that currently approved</w:t>
      </w:r>
      <w:r w:rsidR="004D2AF1" w:rsidRPr="004D2AF1">
        <w:t xml:space="preserve"> which will increase the overall need and therefore the apparent borrowing above need is not considered to be a problem. </w:t>
      </w:r>
      <w:r w:rsidR="004D2AF1">
        <w:t xml:space="preserve">However, </w:t>
      </w:r>
      <w:r w:rsidR="00C4654D">
        <w:t>i</w:t>
      </w:r>
      <w:r w:rsidR="004D2AF1">
        <w:t>t does mean that any longer</w:t>
      </w:r>
      <w:r w:rsidR="00F81FB6">
        <w:t>-</w:t>
      </w:r>
      <w:r w:rsidR="004D2AF1">
        <w:t xml:space="preserve">term debt taken is likely to be for maturity in 10-20 </w:t>
      </w:r>
      <w:r w:rsidR="00E62AC2">
        <w:t>years.</w:t>
      </w:r>
    </w:p>
    <w:p w14:paraId="78E1DF3C" w14:textId="77777777" w:rsidR="00C742C9" w:rsidRPr="00DE69C4" w:rsidRDefault="00C742C9">
      <w:pPr>
        <w:pStyle w:val="ListParagraph"/>
        <w:jc w:val="both"/>
      </w:pPr>
    </w:p>
    <w:p w14:paraId="0C3E0593" w14:textId="77777777" w:rsidR="00C742C9" w:rsidRPr="00DE69C4" w:rsidRDefault="00BC5B1D" w:rsidP="006618B5">
      <w:pPr>
        <w:jc w:val="both"/>
      </w:pPr>
      <w:r w:rsidRPr="00DE69C4">
        <w:t>There are a range of options available for borrowing in 202</w:t>
      </w:r>
      <w:r w:rsidR="00134FF7" w:rsidRPr="00DE69C4">
        <w:t>2</w:t>
      </w:r>
      <w:r w:rsidR="0023417A" w:rsidRPr="00DE69C4">
        <w:t>/2</w:t>
      </w:r>
      <w:r w:rsidR="00134FF7" w:rsidRPr="00DE69C4">
        <w:t>3</w:t>
      </w:r>
      <w:r w:rsidRPr="00DE69C4">
        <w:t xml:space="preserve">: </w:t>
      </w:r>
    </w:p>
    <w:p w14:paraId="426886C8" w14:textId="77777777" w:rsidR="00C742C9" w:rsidRPr="00DE69C4" w:rsidRDefault="00BC5B1D" w:rsidP="00177EA0">
      <w:pPr>
        <w:pStyle w:val="ListParagraph"/>
        <w:numPr>
          <w:ilvl w:val="0"/>
          <w:numId w:val="7"/>
        </w:numPr>
        <w:spacing w:after="240"/>
        <w:jc w:val="both"/>
      </w:pPr>
      <w:r w:rsidRPr="00DE69C4">
        <w:t>Variable rate borrowing is expected to be cheaper than fixed rate long</w:t>
      </w:r>
      <w:r w:rsidR="00F81FB6">
        <w:t>-</w:t>
      </w:r>
      <w:r w:rsidRPr="00DE69C4">
        <w:t>term borrowing and will be attrac</w:t>
      </w:r>
      <w:r w:rsidRPr="00DE69C4">
        <w:t xml:space="preserve">tive during the financial year, particularly as variable rates are closely linked to Bank Rate. </w:t>
      </w:r>
    </w:p>
    <w:p w14:paraId="3F079134" w14:textId="77777777" w:rsidR="00C742C9" w:rsidRPr="00DE69C4" w:rsidRDefault="00BC5B1D" w:rsidP="00177EA0">
      <w:pPr>
        <w:pStyle w:val="ListParagraph"/>
        <w:numPr>
          <w:ilvl w:val="0"/>
          <w:numId w:val="7"/>
        </w:numPr>
        <w:spacing w:after="240"/>
        <w:jc w:val="both"/>
      </w:pPr>
      <w:r w:rsidRPr="00DE69C4">
        <w:t>Under 10 years loan duration rates are expected to be lower than long term rates, so this opens up a range of choices that may allow the council to spread matu</w:t>
      </w:r>
      <w:r w:rsidRPr="00DE69C4">
        <w:t>rities.</w:t>
      </w:r>
    </w:p>
    <w:p w14:paraId="205A5CF9" w14:textId="77777777" w:rsidR="00C742C9" w:rsidRPr="00DE69C4" w:rsidRDefault="00BC5B1D" w:rsidP="00177EA0">
      <w:pPr>
        <w:pStyle w:val="ListParagraph"/>
        <w:numPr>
          <w:ilvl w:val="0"/>
          <w:numId w:val="7"/>
        </w:numPr>
        <w:spacing w:after="240"/>
        <w:jc w:val="both"/>
      </w:pPr>
      <w:r w:rsidRPr="00DE69C4">
        <w:t xml:space="preserve">the issuance of a 'commercial paper (an unsecured, short-term debt instrument issued by a corporation) </w:t>
      </w:r>
      <w:r w:rsidR="00FA663D" w:rsidRPr="00DE69C4">
        <w:t>- euro</w:t>
      </w:r>
      <w:r w:rsidR="006D1274" w:rsidRPr="00DE69C4">
        <w:t xml:space="preserve"> medium term note</w:t>
      </w:r>
      <w:r w:rsidRPr="00DE69C4">
        <w:t>. This is a flexible debt instrument that facilitates direct issuance into the public or private markets in a range of for</w:t>
      </w:r>
      <w:r w:rsidRPr="00DE69C4">
        <w:t>mats, with fixed or floating payments across a range of maturities from 1-50yrs.</w:t>
      </w:r>
      <w:r w:rsidR="00FA663D" w:rsidRPr="00DE69C4">
        <w:t xml:space="preserve"> </w:t>
      </w:r>
      <w:r w:rsidRPr="00DE69C4">
        <w:t>The UK Municipal Bonds Agency</w:t>
      </w:r>
      <w:r w:rsidR="006D1274" w:rsidRPr="00DE69C4">
        <w:t xml:space="preserve"> euro medium term note</w:t>
      </w:r>
      <w:r w:rsidRPr="00DE69C4">
        <w:t xml:space="preserve"> documentation allows for "Non-Guaranteed" single council bond issuance under UK</w:t>
      </w:r>
      <w:r w:rsidR="006D1274" w:rsidRPr="00DE69C4">
        <w:t xml:space="preserve"> Municipal Bonds Agency</w:t>
      </w:r>
      <w:r w:rsidRPr="00DE69C4">
        <w:t xml:space="preserve"> documentation provided the</w:t>
      </w:r>
      <w:r w:rsidR="00B45251" w:rsidRPr="00DE69C4">
        <w:t xml:space="preserve"> council has</w:t>
      </w:r>
      <w:r w:rsidRPr="00DE69C4">
        <w:t xml:space="preserve"> </w:t>
      </w:r>
      <w:r w:rsidR="00B45251" w:rsidRPr="00DE69C4">
        <w:t>its</w:t>
      </w:r>
      <w:r w:rsidRPr="00DE69C4">
        <w:t xml:space="preserve"> own long term credit rating. This will represent a cheaper route to market than a stand-alone bond issue and it is this method that the council</w:t>
      </w:r>
      <w:r w:rsidR="002475DB" w:rsidRPr="00DE69C4">
        <w:t xml:space="preserve"> has used </w:t>
      </w:r>
      <w:r w:rsidRPr="00DE69C4">
        <w:t>to</w:t>
      </w:r>
      <w:r w:rsidR="002475DB" w:rsidRPr="00DE69C4">
        <w:t xml:space="preserve"> issue two bonds and if a third bond was considered beneficial then it is the likely route to be chosen by the council </w:t>
      </w:r>
    </w:p>
    <w:p w14:paraId="45AD7135" w14:textId="77777777" w:rsidR="00C742C9" w:rsidRDefault="00BC5B1D" w:rsidP="00F81FB6">
      <w:pPr>
        <w:pStyle w:val="ListParagraph"/>
        <w:numPr>
          <w:ilvl w:val="0"/>
          <w:numId w:val="7"/>
        </w:numPr>
        <w:spacing w:after="240"/>
        <w:jc w:val="both"/>
      </w:pPr>
      <w:r w:rsidRPr="00DE69C4">
        <w:t xml:space="preserve">The </w:t>
      </w:r>
      <w:r w:rsidR="00C07DEC" w:rsidRPr="00DE69C4">
        <w:t>UK</w:t>
      </w:r>
      <w:r w:rsidR="006D1274" w:rsidRPr="00DE69C4">
        <w:t xml:space="preserve"> Municipal Bonds Agency</w:t>
      </w:r>
      <w:r w:rsidR="00C07DEC" w:rsidRPr="00DE69C4">
        <w:t xml:space="preserve"> </w:t>
      </w:r>
      <w:r w:rsidRPr="00DE69C4">
        <w:t>is proposing a product which does not include a joint and several guarantee. Instead, a council’s liability will be proportional to its shar</w:t>
      </w:r>
      <w:r w:rsidRPr="00DE69C4">
        <w:t xml:space="preserve">e of the outstanding borrowing. Consideration as to whether or not this would be an appropriate form of borrowing will be given when the full details are available. </w:t>
      </w:r>
    </w:p>
    <w:p w14:paraId="29DCD34D" w14:textId="77777777" w:rsidR="00BC1B7A" w:rsidRDefault="00BC5B1D" w:rsidP="009108E6">
      <w:pPr>
        <w:pStyle w:val="ListParagraph"/>
        <w:numPr>
          <w:ilvl w:val="0"/>
          <w:numId w:val="7"/>
        </w:numPr>
        <w:jc w:val="both"/>
      </w:pPr>
      <w:r w:rsidRPr="00BC1B7A">
        <w:t>There is a rapidly developing new market in debt finance for 'ESG bonds'. The term ESG sta</w:t>
      </w:r>
      <w:r w:rsidRPr="00BC1B7A">
        <w:t>nds for Environmental, Social and Governance and in bond markets the label is being used where the issuer has identified specific ESG or green criteria for the use of the bond proceeds. Local Government activities are naturally aligned with ESG criteria an</w:t>
      </w:r>
      <w:r w:rsidRPr="00BC1B7A">
        <w:t xml:space="preserve">d as the concept and practice of socially responsible investing </w:t>
      </w:r>
      <w:r w:rsidRPr="00BC1B7A">
        <w:lastRenderedPageBreak/>
        <w:t>becomes more widespread there may be the opportunity for issuers to access lower interest rates as a result of increased demand. There are currently no available vehicles for LCC to access ESG</w:t>
      </w:r>
      <w:r w:rsidRPr="00BC1B7A">
        <w:t xml:space="preserve"> funding but market developments will be closely monitored for possible future access. </w:t>
      </w:r>
    </w:p>
    <w:p w14:paraId="17A2EAAC" w14:textId="77777777" w:rsidR="00BC1B7A" w:rsidRPr="00BC1B7A" w:rsidRDefault="00BC1B7A" w:rsidP="00BC1B7A"/>
    <w:p w14:paraId="601176B7" w14:textId="77777777" w:rsidR="00C742C9" w:rsidRPr="00DE69C4" w:rsidRDefault="00BC5B1D" w:rsidP="00177EA0">
      <w:pPr>
        <w:jc w:val="both"/>
      </w:pPr>
      <w:r w:rsidRPr="00DE69C4">
        <w:t>Against this background, the Director of Finance will, in conjunction with the council's advisers, monitor the interest rate situation closely and will adopt a pragmat</w:t>
      </w:r>
      <w:r w:rsidRPr="00DE69C4">
        <w:t xml:space="preserve">ic approach to delivering the objectives of this strategy within changing economic circumstances. All decisions on whether to undertake new or replacement borrowing to support previous or future capital investment will be subject to evaluation against the </w:t>
      </w:r>
      <w:r w:rsidRPr="00DE69C4">
        <w:t>following criteria:</w:t>
      </w:r>
    </w:p>
    <w:p w14:paraId="19042718" w14:textId="77777777" w:rsidR="009664B6" w:rsidRPr="00DE69C4" w:rsidRDefault="009664B6" w:rsidP="00177EA0">
      <w:pPr>
        <w:jc w:val="both"/>
      </w:pPr>
    </w:p>
    <w:p w14:paraId="4F5C8AAD" w14:textId="77777777" w:rsidR="00C742C9" w:rsidRPr="00DE69C4" w:rsidRDefault="00BC5B1D" w:rsidP="00C742C9">
      <w:pPr>
        <w:pStyle w:val="ListParagraph"/>
        <w:numPr>
          <w:ilvl w:val="0"/>
          <w:numId w:val="1"/>
        </w:numPr>
        <w:spacing w:after="240"/>
        <w:jc w:val="both"/>
      </w:pPr>
      <w:r w:rsidRPr="00DE69C4">
        <w:t>Overall need</w:t>
      </w:r>
      <w:r w:rsidR="00B45251" w:rsidRPr="00DE69C4">
        <w:t>,</w:t>
      </w:r>
      <w:r w:rsidRPr="00DE69C4">
        <w:t xml:space="preserve"> namely whether a borrowing requirement to fund the capital programme or previous capital investment exist</w:t>
      </w:r>
    </w:p>
    <w:p w14:paraId="2C40E936" w14:textId="77777777" w:rsidR="00C742C9" w:rsidRPr="00DE69C4" w:rsidRDefault="00BC5B1D" w:rsidP="00C742C9">
      <w:pPr>
        <w:pStyle w:val="ListParagraph"/>
        <w:numPr>
          <w:ilvl w:val="0"/>
          <w:numId w:val="1"/>
        </w:numPr>
        <w:spacing w:after="240"/>
        <w:jc w:val="both"/>
      </w:pPr>
      <w:r w:rsidRPr="00DE69C4">
        <w:t xml:space="preserve">Timing, when such a borrowing requirement might exist given the overall strategy for financing capital </w:t>
      </w:r>
      <w:r w:rsidRPr="00DE69C4">
        <w:t>investment, and previous capital spending performance</w:t>
      </w:r>
    </w:p>
    <w:p w14:paraId="513F98B4" w14:textId="77777777" w:rsidR="00C742C9" w:rsidRPr="00DE69C4" w:rsidRDefault="00BC5B1D" w:rsidP="00C742C9">
      <w:pPr>
        <w:pStyle w:val="ListParagraph"/>
        <w:numPr>
          <w:ilvl w:val="0"/>
          <w:numId w:val="1"/>
        </w:numPr>
        <w:spacing w:after="240"/>
        <w:jc w:val="both"/>
      </w:pPr>
      <w:r w:rsidRPr="00DE69C4">
        <w:t xml:space="preserve">Market conditions, to ensure borrowing that does need to be undertaken is achieved at minimum cost </w:t>
      </w:r>
    </w:p>
    <w:p w14:paraId="0FD2144D" w14:textId="77777777" w:rsidR="00C742C9" w:rsidRPr="00DE69C4" w:rsidRDefault="00BC5B1D" w:rsidP="00C742C9">
      <w:pPr>
        <w:pStyle w:val="ListParagraph"/>
        <w:numPr>
          <w:ilvl w:val="0"/>
          <w:numId w:val="1"/>
        </w:numPr>
        <w:spacing w:after="240"/>
        <w:jc w:val="both"/>
      </w:pPr>
      <w:r w:rsidRPr="00DE69C4">
        <w:t>Scale, to ensure borrowing is undertaken on a scale commensurate with the agreed financing route.</w:t>
      </w:r>
    </w:p>
    <w:p w14:paraId="09617876" w14:textId="77777777" w:rsidR="009C0FE9" w:rsidRPr="00DE69C4" w:rsidRDefault="00BC5B1D" w:rsidP="00C742C9">
      <w:pPr>
        <w:pStyle w:val="ListParagraph"/>
        <w:numPr>
          <w:ilvl w:val="0"/>
          <w:numId w:val="1"/>
        </w:numPr>
        <w:spacing w:after="240"/>
        <w:jc w:val="both"/>
      </w:pPr>
      <w:r w:rsidRPr="00DE69C4">
        <w:t>To c</w:t>
      </w:r>
      <w:r w:rsidRPr="00DE69C4">
        <w:t>onsider whether to use cash balances as a form of internal borrowing</w:t>
      </w:r>
      <w:r w:rsidR="0097530F">
        <w:t xml:space="preserve">, </w:t>
      </w:r>
      <w:r w:rsidRPr="00DE69C4">
        <w:t xml:space="preserve">but this will </w:t>
      </w:r>
      <w:r w:rsidR="00446524" w:rsidRPr="00DE69C4">
        <w:t>reduce</w:t>
      </w:r>
      <w:r w:rsidRPr="00DE69C4">
        <w:t xml:space="preserve"> the level of investments th</w:t>
      </w:r>
      <w:r w:rsidR="002475DB" w:rsidRPr="00DE69C4">
        <w:t>a</w:t>
      </w:r>
      <w:r w:rsidRPr="00DE69C4">
        <w:t>t can be made</w:t>
      </w:r>
    </w:p>
    <w:p w14:paraId="7B56F9F7" w14:textId="77777777" w:rsidR="00C742C9" w:rsidRPr="00DE69C4" w:rsidRDefault="00BC5B1D" w:rsidP="00C742C9">
      <w:pPr>
        <w:spacing w:after="240"/>
        <w:jc w:val="both"/>
      </w:pPr>
      <w:r w:rsidRPr="00DE69C4">
        <w:t>All long</w:t>
      </w:r>
      <w:r w:rsidR="0097530F">
        <w:t>-</w:t>
      </w:r>
      <w:r w:rsidRPr="00DE69C4">
        <w:t>term decisions will be documented reflecting the assessment of these criteria.</w:t>
      </w:r>
    </w:p>
    <w:p w14:paraId="52C07449" w14:textId="77777777" w:rsidR="00C742C9" w:rsidRPr="00DE69C4" w:rsidRDefault="00BC5B1D" w:rsidP="00C742C9">
      <w:pPr>
        <w:jc w:val="both"/>
        <w:rPr>
          <w:b/>
          <w:i/>
        </w:rPr>
      </w:pPr>
      <w:r w:rsidRPr="00DE69C4">
        <w:rPr>
          <w:b/>
          <w:i/>
        </w:rPr>
        <w:t xml:space="preserve">Sources of borrowing </w:t>
      </w:r>
    </w:p>
    <w:p w14:paraId="3C3A0297" w14:textId="77777777" w:rsidR="00717E3A" w:rsidRPr="00DE69C4" w:rsidRDefault="00717E3A" w:rsidP="00C742C9">
      <w:pPr>
        <w:jc w:val="both"/>
        <w:rPr>
          <w:b/>
          <w:i/>
        </w:rPr>
      </w:pPr>
    </w:p>
    <w:p w14:paraId="18822E2E" w14:textId="77777777" w:rsidR="00C742C9" w:rsidRPr="00DE69C4" w:rsidRDefault="00BC5B1D" w:rsidP="00C742C9">
      <w:pPr>
        <w:jc w:val="both"/>
      </w:pPr>
      <w:r w:rsidRPr="00DE69C4">
        <w:t>Traditionall</w:t>
      </w:r>
      <w:r w:rsidRPr="00DE69C4">
        <w:t>y the Public Works Loan Board has been the main source of long</w:t>
      </w:r>
      <w:r w:rsidR="0097530F">
        <w:t>-</w:t>
      </w:r>
      <w:r w:rsidRPr="00DE69C4">
        <w:t>term borrowing</w:t>
      </w:r>
      <w:r w:rsidR="002475DB" w:rsidRPr="00DE69C4">
        <w:t xml:space="preserve"> for local authorities</w:t>
      </w:r>
      <w:r w:rsidRPr="00DE69C4">
        <w:t xml:space="preserve">. The interest rate charged on Public Works Loan Board loans is linked to the </w:t>
      </w:r>
      <w:r w:rsidR="00FA663D" w:rsidRPr="00DE69C4">
        <w:t>g</w:t>
      </w:r>
      <w:r w:rsidRPr="00DE69C4">
        <w:t xml:space="preserve">ilt yield. </w:t>
      </w:r>
      <w:r w:rsidR="00446524" w:rsidRPr="00DE69C4">
        <w:t>Currently</w:t>
      </w:r>
      <w:r w:rsidRPr="00DE69C4">
        <w:t xml:space="preserve"> the council </w:t>
      </w:r>
      <w:r w:rsidR="00446524" w:rsidRPr="00DE69C4">
        <w:t>can</w:t>
      </w:r>
      <w:r w:rsidRPr="00DE69C4">
        <w:t xml:space="preserve"> obtain a Public Works Loan Board loan at 0.8% higher than the </w:t>
      </w:r>
      <w:r w:rsidR="00FA663D" w:rsidRPr="00DE69C4">
        <w:t>g</w:t>
      </w:r>
      <w:r w:rsidRPr="00DE69C4">
        <w:t xml:space="preserve">ilts yield (this rate is referred to as the margin). </w:t>
      </w:r>
      <w:r w:rsidR="00446524" w:rsidRPr="00DE69C4">
        <w:t>Recently the council has used the issuance of bonds to meet its requirements at rates lower than those available from the PWLB.</w:t>
      </w:r>
    </w:p>
    <w:p w14:paraId="55324D96" w14:textId="77777777" w:rsidR="00C742C9" w:rsidRPr="00DE69C4" w:rsidRDefault="00C742C9" w:rsidP="00C742C9">
      <w:pPr>
        <w:jc w:val="both"/>
      </w:pPr>
    </w:p>
    <w:p w14:paraId="05D75A26" w14:textId="77777777" w:rsidR="00C742C9" w:rsidRPr="00DE69C4" w:rsidRDefault="00BC5B1D" w:rsidP="00C742C9">
      <w:pPr>
        <w:jc w:val="both"/>
      </w:pPr>
      <w:r w:rsidRPr="00DE69C4">
        <w:t>The approv</w:t>
      </w:r>
      <w:r w:rsidRPr="00DE69C4">
        <w:t>ed sources of long-term and short-term borrowing will be:</w:t>
      </w:r>
    </w:p>
    <w:p w14:paraId="31AA1170" w14:textId="77777777" w:rsidR="00C742C9" w:rsidRPr="00DE69C4" w:rsidRDefault="00BC5B1D" w:rsidP="00C742C9">
      <w:pPr>
        <w:widowControl w:val="0"/>
        <w:numPr>
          <w:ilvl w:val="0"/>
          <w:numId w:val="18"/>
        </w:numPr>
        <w:jc w:val="both"/>
      </w:pPr>
      <w:r w:rsidRPr="00DE69C4">
        <w:t>Public Works Loan Board</w:t>
      </w:r>
    </w:p>
    <w:p w14:paraId="646BC0EA" w14:textId="77777777" w:rsidR="00C742C9" w:rsidRPr="00DE69C4" w:rsidRDefault="00BC5B1D" w:rsidP="00C742C9">
      <w:pPr>
        <w:pStyle w:val="NoSpacing"/>
        <w:numPr>
          <w:ilvl w:val="0"/>
          <w:numId w:val="18"/>
        </w:numPr>
        <w:jc w:val="both"/>
      </w:pPr>
      <w:r w:rsidRPr="00DE69C4">
        <w:t>UK Local Authorities</w:t>
      </w:r>
    </w:p>
    <w:p w14:paraId="14D4B8F0" w14:textId="77777777" w:rsidR="00C742C9" w:rsidRPr="00DE69C4" w:rsidRDefault="00BC5B1D" w:rsidP="00C742C9">
      <w:pPr>
        <w:pStyle w:val="NoSpacing"/>
        <w:numPr>
          <w:ilvl w:val="0"/>
          <w:numId w:val="18"/>
        </w:numPr>
        <w:jc w:val="both"/>
      </w:pPr>
      <w:r w:rsidRPr="00DE69C4">
        <w:t>Any institution approved for investments including high quality supranational banks such as the European Central Bank</w:t>
      </w:r>
    </w:p>
    <w:p w14:paraId="3FC78031" w14:textId="77777777" w:rsidR="00C742C9" w:rsidRPr="00DE69C4" w:rsidRDefault="00BC5B1D" w:rsidP="00C742C9">
      <w:pPr>
        <w:pStyle w:val="NoSpacing"/>
        <w:numPr>
          <w:ilvl w:val="0"/>
          <w:numId w:val="18"/>
        </w:numPr>
        <w:jc w:val="both"/>
      </w:pPr>
      <w:r w:rsidRPr="00DE69C4">
        <w:t>UK public and private sector pensio</w:t>
      </w:r>
      <w:r w:rsidRPr="00DE69C4">
        <w:t>n funds</w:t>
      </w:r>
    </w:p>
    <w:p w14:paraId="638DA9B2" w14:textId="77777777" w:rsidR="00BC1B7A" w:rsidRDefault="00BC5B1D" w:rsidP="00834117">
      <w:pPr>
        <w:pStyle w:val="NoSpacing"/>
        <w:numPr>
          <w:ilvl w:val="0"/>
          <w:numId w:val="18"/>
        </w:numPr>
        <w:jc w:val="both"/>
      </w:pPr>
      <w:r w:rsidRPr="00E62AC2">
        <w:t>Any other financial institution approved by the Prudential Regulation Authority, (this is part of the Bank of England and is responsible for the regulation and supervision of around 1,700 banks, building societies, credit unions, insurers and major</w:t>
      </w:r>
      <w:r w:rsidRPr="00E62AC2">
        <w:t xml:space="preserve"> investment firms)</w:t>
      </w:r>
    </w:p>
    <w:p w14:paraId="4CB3FFF5" w14:textId="77777777" w:rsidR="00BC1B7A" w:rsidRDefault="00BC5B1D" w:rsidP="00834117">
      <w:pPr>
        <w:pStyle w:val="NoSpacing"/>
        <w:numPr>
          <w:ilvl w:val="0"/>
          <w:numId w:val="18"/>
        </w:numPr>
        <w:jc w:val="both"/>
      </w:pPr>
      <w:r>
        <w:t>Municipal Bond Agency</w:t>
      </w:r>
    </w:p>
    <w:p w14:paraId="306F423B" w14:textId="77777777" w:rsidR="00C742C9" w:rsidRPr="00E62AC2" w:rsidRDefault="00BC5B1D" w:rsidP="00834117">
      <w:pPr>
        <w:pStyle w:val="NoSpacing"/>
        <w:numPr>
          <w:ilvl w:val="0"/>
          <w:numId w:val="18"/>
        </w:numPr>
        <w:jc w:val="both"/>
      </w:pPr>
      <w:r w:rsidRPr="00E62AC2">
        <w:t>Capital market bond investors either over the counter or through electronic trading platforms</w:t>
      </w:r>
    </w:p>
    <w:p w14:paraId="374C9E50" w14:textId="77777777" w:rsidR="00C742C9" w:rsidRDefault="00C742C9" w:rsidP="00C742C9">
      <w:pPr>
        <w:pStyle w:val="NoSpacing"/>
      </w:pPr>
    </w:p>
    <w:p w14:paraId="1162247A" w14:textId="77777777" w:rsidR="007A63A0" w:rsidRDefault="007A63A0" w:rsidP="00C742C9">
      <w:pPr>
        <w:pStyle w:val="NoSpacing"/>
      </w:pPr>
    </w:p>
    <w:p w14:paraId="7D1E25BF" w14:textId="77777777" w:rsidR="007A63A0" w:rsidRPr="00E62AC2" w:rsidRDefault="007A63A0" w:rsidP="00C742C9">
      <w:pPr>
        <w:pStyle w:val="NoSpacing"/>
      </w:pPr>
    </w:p>
    <w:p w14:paraId="089B10E4" w14:textId="77777777" w:rsidR="00C742C9" w:rsidRPr="00E62AC2" w:rsidRDefault="00BC5B1D" w:rsidP="00C742C9">
      <w:pPr>
        <w:rPr>
          <w:b/>
          <w:i/>
        </w:rPr>
      </w:pPr>
      <w:r w:rsidRPr="00E62AC2">
        <w:rPr>
          <w:b/>
          <w:i/>
        </w:rPr>
        <w:lastRenderedPageBreak/>
        <w:t>Borrowing instruments</w:t>
      </w:r>
    </w:p>
    <w:p w14:paraId="3FE3C216" w14:textId="77777777" w:rsidR="00717E3A" w:rsidRPr="00E62AC2" w:rsidRDefault="00717E3A" w:rsidP="00C742C9">
      <w:pPr>
        <w:rPr>
          <w:b/>
          <w:i/>
        </w:rPr>
      </w:pPr>
    </w:p>
    <w:p w14:paraId="1F9995DE" w14:textId="77777777" w:rsidR="00C742C9" w:rsidRPr="00E62AC2" w:rsidRDefault="00BC5B1D" w:rsidP="00C742C9">
      <w:pPr>
        <w:jc w:val="both"/>
      </w:pPr>
      <w:r w:rsidRPr="00E62AC2">
        <w:t>The council may only borrow money by use of the following instruments:</w:t>
      </w:r>
    </w:p>
    <w:p w14:paraId="62173140" w14:textId="77777777" w:rsidR="00C742C9" w:rsidRPr="00E62AC2" w:rsidRDefault="00BC5B1D" w:rsidP="00177EA0">
      <w:pPr>
        <w:pStyle w:val="ListParagraph"/>
        <w:numPr>
          <w:ilvl w:val="0"/>
          <w:numId w:val="29"/>
        </w:numPr>
        <w:tabs>
          <w:tab w:val="left" w:pos="567"/>
        </w:tabs>
        <w:jc w:val="both"/>
      </w:pPr>
      <w:r w:rsidRPr="00E62AC2">
        <w:t xml:space="preserve">Bank </w:t>
      </w:r>
      <w:r w:rsidRPr="00E62AC2">
        <w:t>overdrafts</w:t>
      </w:r>
    </w:p>
    <w:p w14:paraId="2EC948A8" w14:textId="77777777" w:rsidR="00C742C9" w:rsidRPr="00E62AC2" w:rsidRDefault="00BC5B1D" w:rsidP="00177EA0">
      <w:pPr>
        <w:pStyle w:val="ListParagraph"/>
        <w:numPr>
          <w:ilvl w:val="0"/>
          <w:numId w:val="29"/>
        </w:numPr>
        <w:tabs>
          <w:tab w:val="left" w:pos="567"/>
        </w:tabs>
        <w:jc w:val="both"/>
      </w:pPr>
      <w:r w:rsidRPr="00E62AC2">
        <w:t>Fixed term loans</w:t>
      </w:r>
    </w:p>
    <w:p w14:paraId="7AF517CA" w14:textId="77777777" w:rsidR="00C742C9" w:rsidRPr="00E62AC2" w:rsidRDefault="00BC5B1D" w:rsidP="00177EA0">
      <w:pPr>
        <w:pStyle w:val="ListParagraph"/>
        <w:numPr>
          <w:ilvl w:val="0"/>
          <w:numId w:val="29"/>
        </w:numPr>
        <w:tabs>
          <w:tab w:val="left" w:pos="567"/>
        </w:tabs>
        <w:jc w:val="both"/>
      </w:pPr>
      <w:r w:rsidRPr="00E62AC2">
        <w:t>Callable loans or revolving credit facilities where the council may repay at any time (with or without notice)</w:t>
      </w:r>
    </w:p>
    <w:p w14:paraId="279E9A85" w14:textId="77777777" w:rsidR="00C742C9" w:rsidRPr="00E62AC2" w:rsidRDefault="00BC5B1D" w:rsidP="00177EA0">
      <w:pPr>
        <w:pStyle w:val="ListParagraph"/>
        <w:numPr>
          <w:ilvl w:val="0"/>
          <w:numId w:val="29"/>
        </w:numPr>
        <w:tabs>
          <w:tab w:val="left" w:pos="567"/>
        </w:tabs>
        <w:jc w:val="both"/>
      </w:pPr>
      <w:r w:rsidRPr="00E62AC2">
        <w:t>Callable loans where the lender may repay at any time, but subject to a maximum of £150m in total</w:t>
      </w:r>
    </w:p>
    <w:p w14:paraId="0A9A96CB" w14:textId="77777777" w:rsidR="00C742C9" w:rsidRPr="00E62AC2" w:rsidRDefault="00BC5B1D" w:rsidP="00177EA0">
      <w:pPr>
        <w:pStyle w:val="ListParagraph"/>
        <w:numPr>
          <w:ilvl w:val="0"/>
          <w:numId w:val="29"/>
        </w:numPr>
        <w:tabs>
          <w:tab w:val="left" w:pos="567"/>
        </w:tabs>
        <w:jc w:val="both"/>
      </w:pPr>
      <w:r w:rsidRPr="00E62AC2">
        <w:t>Bonds, notes, bills</w:t>
      </w:r>
      <w:r w:rsidRPr="00E62AC2">
        <w:t>, commercial paper and other marketable instruments</w:t>
      </w:r>
    </w:p>
    <w:p w14:paraId="67979F3E" w14:textId="77777777" w:rsidR="00C742C9" w:rsidRPr="00E62AC2" w:rsidRDefault="00BC5B1D" w:rsidP="00177EA0">
      <w:pPr>
        <w:pStyle w:val="ListParagraph"/>
        <w:numPr>
          <w:ilvl w:val="0"/>
          <w:numId w:val="29"/>
        </w:numPr>
        <w:tabs>
          <w:tab w:val="left" w:pos="567"/>
        </w:tabs>
        <w:jc w:val="both"/>
      </w:pPr>
      <w:r w:rsidRPr="00E62AC2">
        <w:t>Sale and repurchase (repo) agreements</w:t>
      </w:r>
    </w:p>
    <w:p w14:paraId="3EC501E3" w14:textId="77777777" w:rsidR="00C742C9" w:rsidRPr="00E62AC2" w:rsidRDefault="00C742C9" w:rsidP="00C742C9"/>
    <w:p w14:paraId="26E63EAD" w14:textId="77777777" w:rsidR="00C742C9" w:rsidRPr="00E62AC2" w:rsidRDefault="00BC5B1D" w:rsidP="00C742C9">
      <w:pPr>
        <w:jc w:val="both"/>
      </w:pPr>
      <w:r w:rsidRPr="00E62AC2">
        <w:t>Loans may be borrowed at either a fixed rate of interest, or at a variable rate linked to a market benchmark interest rate, such as the Sterling Overnight Index Aver</w:t>
      </w:r>
      <w:r w:rsidRPr="00E62AC2">
        <w:t>age (</w:t>
      </w:r>
      <w:r w:rsidR="003D4BD6" w:rsidRPr="00E62AC2">
        <w:t xml:space="preserve">often referred to as </w:t>
      </w:r>
      <w:r w:rsidRPr="00E62AC2">
        <w:t xml:space="preserve">SONIA) which is administered by the Bank of England. The balance between fixed and variable rates will be subject to the limits on interest rate risk approved in this </w:t>
      </w:r>
      <w:r w:rsidR="00FA663D" w:rsidRPr="00E62AC2">
        <w:t>treasury management strategy</w:t>
      </w:r>
      <w:r w:rsidRPr="00E62AC2">
        <w:t>.</w:t>
      </w:r>
    </w:p>
    <w:p w14:paraId="69FF4B30" w14:textId="77777777" w:rsidR="00C742C9" w:rsidRPr="00044115" w:rsidRDefault="00C742C9" w:rsidP="00C742C9">
      <w:pPr>
        <w:rPr>
          <w:bCs/>
          <w:i/>
          <w:highlight w:val="green"/>
        </w:rPr>
      </w:pPr>
    </w:p>
    <w:p w14:paraId="01F45033" w14:textId="77777777" w:rsidR="00C742C9" w:rsidRPr="00E62AC2" w:rsidRDefault="00BC5B1D" w:rsidP="00C742C9">
      <w:pPr>
        <w:rPr>
          <w:b/>
          <w:bCs/>
          <w:i/>
        </w:rPr>
      </w:pPr>
      <w:r w:rsidRPr="00E62AC2">
        <w:rPr>
          <w:b/>
          <w:bCs/>
          <w:i/>
        </w:rPr>
        <w:t>Debt restructuring</w:t>
      </w:r>
    </w:p>
    <w:p w14:paraId="14B56D40" w14:textId="77777777" w:rsidR="00717E3A" w:rsidRPr="00E62AC2" w:rsidRDefault="00717E3A" w:rsidP="00C742C9">
      <w:pPr>
        <w:rPr>
          <w:b/>
          <w:bCs/>
          <w:i/>
        </w:rPr>
      </w:pPr>
    </w:p>
    <w:p w14:paraId="0F2CF6FD" w14:textId="77777777" w:rsidR="00C742C9" w:rsidRPr="00E62AC2" w:rsidRDefault="00BC5B1D" w:rsidP="00C742C9">
      <w:pPr>
        <w:jc w:val="both"/>
      </w:pPr>
      <w:r w:rsidRPr="00E62AC2">
        <w:t xml:space="preserve">The council regularly monitors both its debt portfolio and market conditions to evaluate potential savings from debt restructuring. </w:t>
      </w:r>
    </w:p>
    <w:p w14:paraId="4B0BFE02" w14:textId="77777777" w:rsidR="00C742C9" w:rsidRPr="00E62AC2" w:rsidRDefault="00C742C9" w:rsidP="00C742C9">
      <w:pPr>
        <w:jc w:val="both"/>
      </w:pPr>
    </w:p>
    <w:p w14:paraId="261C721D" w14:textId="77777777" w:rsidR="00C742C9" w:rsidRPr="00E62AC2" w:rsidRDefault="00BC5B1D" w:rsidP="00C742C9">
      <w:pPr>
        <w:jc w:val="both"/>
        <w:rPr>
          <w:b/>
          <w:i/>
        </w:rPr>
      </w:pPr>
      <w:r w:rsidRPr="00E62AC2">
        <w:rPr>
          <w:b/>
          <w:i/>
        </w:rPr>
        <w:t>Other borrowing</w:t>
      </w:r>
    </w:p>
    <w:p w14:paraId="2C527EC7" w14:textId="77777777" w:rsidR="00717E3A" w:rsidRPr="00E62AC2" w:rsidRDefault="00717E3A" w:rsidP="00C742C9">
      <w:pPr>
        <w:jc w:val="both"/>
        <w:rPr>
          <w:b/>
          <w:i/>
        </w:rPr>
      </w:pPr>
    </w:p>
    <w:p w14:paraId="73D673A1" w14:textId="77777777" w:rsidR="00C742C9" w:rsidRPr="00E62AC2" w:rsidRDefault="00BC5B1D" w:rsidP="00C742C9">
      <w:pPr>
        <w:jc w:val="both"/>
      </w:pPr>
      <w:r w:rsidRPr="00E62AC2">
        <w:t>The council may borrow for short periods of time to cover unexpected cash flow shortages and to take depo</w:t>
      </w:r>
      <w:r w:rsidRPr="00E62AC2">
        <w:t>sits o</w:t>
      </w:r>
      <w:r w:rsidR="00FA663D" w:rsidRPr="00E62AC2">
        <w:t xml:space="preserve">n the shared investment scheme. </w:t>
      </w:r>
      <w:r w:rsidRPr="00E62AC2">
        <w:t>Also</w:t>
      </w:r>
      <w:r w:rsidR="0097530F">
        <w:t>,</w:t>
      </w:r>
      <w:r w:rsidRPr="00E62AC2">
        <w:t xml:space="preserve"> to provide cash flow support for the Preston, South Ribble and Lancashire City Deal project. This is to cover the gap between the cost of construction of infrastructure and the payment of contributions from other</w:t>
      </w:r>
      <w:r w:rsidRPr="00E62AC2">
        <w:t xml:space="preserve"> organisations including the government and developers. This borrowing is temporary but will be reflected within the </w:t>
      </w:r>
      <w:r w:rsidR="00735451" w:rsidRPr="00E62AC2">
        <w:t>p</w:t>
      </w:r>
      <w:r w:rsidRPr="00E62AC2">
        <w:t xml:space="preserve">rudential </w:t>
      </w:r>
      <w:r w:rsidR="00735451" w:rsidRPr="00E62AC2">
        <w:t>l</w:t>
      </w:r>
      <w:r w:rsidRPr="00E62AC2">
        <w:t xml:space="preserve">imits </w:t>
      </w:r>
    </w:p>
    <w:p w14:paraId="051ED171" w14:textId="77777777" w:rsidR="00C742C9" w:rsidRPr="00044115" w:rsidRDefault="00C742C9" w:rsidP="00C742C9">
      <w:pPr>
        <w:jc w:val="both"/>
        <w:rPr>
          <w:highlight w:val="green"/>
        </w:rPr>
      </w:pPr>
    </w:p>
    <w:p w14:paraId="0A558989" w14:textId="77777777" w:rsidR="00C742C9" w:rsidRPr="00E62AC2" w:rsidRDefault="00BC5B1D" w:rsidP="00C742C9">
      <w:pPr>
        <w:rPr>
          <w:b/>
          <w:bCs/>
          <w:sz w:val="28"/>
          <w:szCs w:val="28"/>
        </w:rPr>
      </w:pPr>
      <w:r w:rsidRPr="00E62AC2">
        <w:rPr>
          <w:b/>
          <w:bCs/>
          <w:sz w:val="28"/>
          <w:szCs w:val="28"/>
        </w:rPr>
        <w:t>Policy on Borrowing in Advance of Need</w:t>
      </w:r>
    </w:p>
    <w:p w14:paraId="0E8A0A10" w14:textId="77777777" w:rsidR="00C742C9" w:rsidRPr="00E62AC2" w:rsidRDefault="00C742C9" w:rsidP="00C742C9">
      <w:pPr>
        <w:rPr>
          <w:b/>
          <w:bCs/>
        </w:rPr>
      </w:pPr>
    </w:p>
    <w:p w14:paraId="60B0D19D" w14:textId="77777777" w:rsidR="00C742C9" w:rsidRDefault="00BC5B1D" w:rsidP="00E62AC2">
      <w:pPr>
        <w:jc w:val="both"/>
      </w:pPr>
      <w:r w:rsidRPr="00E62AC2">
        <w:t>The council will not borrow more than</w:t>
      </w:r>
      <w:r w:rsidR="00FA663D" w:rsidRPr="00E62AC2">
        <w:t>,</w:t>
      </w:r>
      <w:r w:rsidRPr="00E62AC2">
        <w:t xml:space="preserve"> or in advance of need</w:t>
      </w:r>
      <w:r w:rsidR="00FA663D" w:rsidRPr="00E62AC2">
        <w:t>,</w:t>
      </w:r>
      <w:r w:rsidRPr="00E62AC2">
        <w:t xml:space="preserve"> with the objectiv</w:t>
      </w:r>
      <w:r w:rsidRPr="00E62AC2">
        <w:t xml:space="preserve">e of profiting from the investment of the additional sums borrowed. However, borrowing in advance of need is </w:t>
      </w:r>
      <w:r w:rsidR="00E62AC2" w:rsidRPr="00E62AC2">
        <w:t>permitted to pre-fund future years’</w:t>
      </w:r>
      <w:r w:rsidR="00E62AC2">
        <w:t xml:space="preserve"> capital</w:t>
      </w:r>
      <w:r w:rsidR="00E62AC2" w:rsidRPr="00E62AC2">
        <w:t xml:space="preserve"> requirements, providing this does not exceed the authorised limit for </w:t>
      </w:r>
      <w:r w:rsidR="00E62AC2">
        <w:t>borrowing. Therefore</w:t>
      </w:r>
      <w:r w:rsidR="00361598">
        <w:t>,</w:t>
      </w:r>
      <w:r w:rsidR="00E62AC2">
        <w:t xml:space="preserve"> the Council may look to borrow in advance </w:t>
      </w:r>
      <w:r w:rsidR="00E62AC2" w:rsidRPr="00361598">
        <w:t>if</w:t>
      </w:r>
      <w:r w:rsidRPr="00361598">
        <w:t xml:space="preserve"> </w:t>
      </w:r>
      <w:r w:rsidR="00E62AC2" w:rsidRPr="00361598">
        <w:t xml:space="preserve">the </w:t>
      </w:r>
      <w:r w:rsidRPr="00361598">
        <w:t xml:space="preserve">need to finance </w:t>
      </w:r>
      <w:r w:rsidR="00361598">
        <w:t xml:space="preserve">the </w:t>
      </w:r>
      <w:r w:rsidRPr="00361598">
        <w:t xml:space="preserve">future capital investment will materialise in </w:t>
      </w:r>
      <w:r w:rsidR="00FA663D" w:rsidRPr="00361598">
        <w:t>two</w:t>
      </w:r>
      <w:r w:rsidRPr="00361598">
        <w:t xml:space="preserve"> years or less; and</w:t>
      </w:r>
    </w:p>
    <w:p w14:paraId="7A667103" w14:textId="77777777" w:rsidR="00361598" w:rsidRPr="00044115" w:rsidRDefault="00361598" w:rsidP="00E62AC2">
      <w:pPr>
        <w:jc w:val="both"/>
        <w:rPr>
          <w:highlight w:val="green"/>
        </w:rPr>
      </w:pPr>
    </w:p>
    <w:p w14:paraId="470A7F65" w14:textId="77777777" w:rsidR="00C742C9" w:rsidRPr="00361598" w:rsidRDefault="00BC5B1D" w:rsidP="00C742C9">
      <w:pPr>
        <w:pStyle w:val="ListParagraph"/>
        <w:numPr>
          <w:ilvl w:val="0"/>
          <w:numId w:val="5"/>
        </w:numPr>
        <w:jc w:val="both"/>
      </w:pPr>
      <w:r w:rsidRPr="00361598">
        <w:t xml:space="preserve">Where the most advantageous method of raising capital finance requires the council to raise funds in a quantity greater than </w:t>
      </w:r>
      <w:r w:rsidRPr="00361598">
        <w:t>would be required in any one year, or</w:t>
      </w:r>
    </w:p>
    <w:p w14:paraId="78C6108B" w14:textId="77777777" w:rsidR="00C742C9" w:rsidRPr="00361598" w:rsidRDefault="00BC5B1D" w:rsidP="00C742C9">
      <w:pPr>
        <w:pStyle w:val="ListParagraph"/>
        <w:numPr>
          <w:ilvl w:val="0"/>
          <w:numId w:val="5"/>
        </w:numPr>
        <w:jc w:val="both"/>
      </w:pPr>
      <w:r w:rsidRPr="00361598">
        <w:t>Where in the view of the s</w:t>
      </w:r>
      <w:r w:rsidR="00FA663D" w:rsidRPr="00361598">
        <w:t xml:space="preserve">ection </w:t>
      </w:r>
      <w:r w:rsidRPr="00361598">
        <w:t>151 officer, based on external advice, the achievement of value for money would be prejudiced by delaying borrowing.</w:t>
      </w:r>
    </w:p>
    <w:p w14:paraId="61758FF1" w14:textId="77777777" w:rsidR="00717E3A" w:rsidRPr="00044115" w:rsidRDefault="00717E3A" w:rsidP="00717E3A">
      <w:pPr>
        <w:pStyle w:val="ListParagraph"/>
        <w:ind w:left="360"/>
        <w:jc w:val="both"/>
        <w:rPr>
          <w:highlight w:val="green"/>
        </w:rPr>
      </w:pPr>
    </w:p>
    <w:p w14:paraId="761FFCAB" w14:textId="77777777" w:rsidR="00C742C9" w:rsidRPr="00361598" w:rsidRDefault="00BC5B1D" w:rsidP="00C742C9">
      <w:pPr>
        <w:spacing w:after="240"/>
        <w:jc w:val="both"/>
      </w:pPr>
      <w:r w:rsidRPr="00361598">
        <w:t>Having satisfied the criteria above, any proposal to borrow in adva</w:t>
      </w:r>
      <w:r w:rsidRPr="00361598">
        <w:t>nce of need would be reviewed against the following factors:</w:t>
      </w:r>
    </w:p>
    <w:p w14:paraId="442D3072" w14:textId="77777777" w:rsidR="00C742C9" w:rsidRPr="00361598" w:rsidRDefault="00BC5B1D" w:rsidP="00C742C9">
      <w:pPr>
        <w:numPr>
          <w:ilvl w:val="0"/>
          <w:numId w:val="6"/>
        </w:numPr>
        <w:jc w:val="both"/>
      </w:pPr>
      <w:r w:rsidRPr="00361598">
        <w:lastRenderedPageBreak/>
        <w:t>Whether the ongoing revenue liabilities created, and the implications for the future plans and budgets have been considered and reflected in those plans and budgets</w:t>
      </w:r>
      <w:r w:rsidR="00FA663D" w:rsidRPr="00361598">
        <w:t xml:space="preserve">, </w:t>
      </w:r>
      <w:r w:rsidRPr="00361598">
        <w:t>with the value for money of t</w:t>
      </w:r>
      <w:r w:rsidRPr="00361598">
        <w:t>he proposal fully evaluated.</w:t>
      </w:r>
    </w:p>
    <w:p w14:paraId="14A856DD" w14:textId="77777777" w:rsidR="00C742C9" w:rsidRPr="00361598" w:rsidRDefault="00BC5B1D" w:rsidP="00C742C9">
      <w:pPr>
        <w:numPr>
          <w:ilvl w:val="0"/>
          <w:numId w:val="6"/>
        </w:numPr>
      </w:pPr>
      <w:r w:rsidRPr="00361598">
        <w:t>The merits and demerits of alternative forms of funding.</w:t>
      </w:r>
    </w:p>
    <w:p w14:paraId="191920C6" w14:textId="77777777" w:rsidR="00C742C9" w:rsidRPr="00361598" w:rsidRDefault="00BC5B1D" w:rsidP="00C742C9">
      <w:pPr>
        <w:numPr>
          <w:ilvl w:val="0"/>
          <w:numId w:val="6"/>
        </w:numPr>
        <w:tabs>
          <w:tab w:val="left" w:pos="1418"/>
        </w:tabs>
        <w:jc w:val="both"/>
        <w:rPr>
          <w:b/>
          <w:bCs/>
        </w:rPr>
      </w:pPr>
      <w:r w:rsidRPr="00361598">
        <w:t>The alternative interest rate bases available, the most appropriate periods over which to fund and repayment profiles to use.</w:t>
      </w:r>
    </w:p>
    <w:p w14:paraId="740B0027" w14:textId="77777777" w:rsidR="00C742C9" w:rsidRPr="00361598" w:rsidRDefault="00C742C9" w:rsidP="00C742C9">
      <w:pPr>
        <w:tabs>
          <w:tab w:val="left" w:pos="1418"/>
        </w:tabs>
        <w:ind w:left="720"/>
        <w:rPr>
          <w:b/>
          <w:bCs/>
        </w:rPr>
      </w:pPr>
    </w:p>
    <w:p w14:paraId="6511C928" w14:textId="77777777" w:rsidR="00C742C9" w:rsidRPr="00361598" w:rsidRDefault="00BC5B1D" w:rsidP="00C742C9">
      <w:pPr>
        <w:spacing w:after="240"/>
        <w:jc w:val="both"/>
      </w:pPr>
      <w:r w:rsidRPr="00361598">
        <w:t>All decisions will be documented reflecting</w:t>
      </w:r>
      <w:r w:rsidRPr="00361598">
        <w:t xml:space="preserve"> the assessment of these circumstances and criteria.</w:t>
      </w:r>
    </w:p>
    <w:p w14:paraId="765F006F" w14:textId="77777777" w:rsidR="00C742C9" w:rsidRPr="006D7A40" w:rsidRDefault="00BC5B1D">
      <w:pPr>
        <w:jc w:val="both"/>
        <w:rPr>
          <w:b/>
          <w:bCs/>
          <w:sz w:val="28"/>
          <w:szCs w:val="28"/>
        </w:rPr>
      </w:pPr>
      <w:r w:rsidRPr="006D7A40">
        <w:rPr>
          <w:b/>
          <w:bCs/>
          <w:sz w:val="28"/>
          <w:szCs w:val="28"/>
        </w:rPr>
        <w:t>Treasury Management Investments Strategy</w:t>
      </w:r>
      <w:r w:rsidR="00003091" w:rsidRPr="006D7A40">
        <w:rPr>
          <w:b/>
          <w:bCs/>
          <w:sz w:val="28"/>
          <w:szCs w:val="28"/>
        </w:rPr>
        <w:t xml:space="preserve"> </w:t>
      </w:r>
    </w:p>
    <w:p w14:paraId="35A09AA9" w14:textId="77777777" w:rsidR="00C742C9" w:rsidRPr="00044115" w:rsidRDefault="00C742C9">
      <w:pPr>
        <w:jc w:val="both"/>
        <w:rPr>
          <w:b/>
          <w:bCs/>
          <w:highlight w:val="green"/>
        </w:rPr>
      </w:pPr>
    </w:p>
    <w:p w14:paraId="6D5A1471" w14:textId="77777777" w:rsidR="00C742C9" w:rsidRPr="00003091" w:rsidRDefault="00BC5B1D" w:rsidP="00177EA0">
      <w:pPr>
        <w:jc w:val="both"/>
      </w:pPr>
      <w:r w:rsidRPr="00003091">
        <w:t xml:space="preserve">The council holds reserves and other cash items on its balance sheet which </w:t>
      </w:r>
      <w:r w:rsidR="00003091" w:rsidRPr="00003091">
        <w:t xml:space="preserve">if not used to reduce borrowing requirements </w:t>
      </w:r>
      <w:r w:rsidRPr="00003091">
        <w:t>are invested. In investing these cash ba</w:t>
      </w:r>
      <w:r w:rsidRPr="00003091">
        <w:t xml:space="preserve">lances the council follows guidance issued by </w:t>
      </w:r>
      <w:r w:rsidR="003D4BD6" w:rsidRPr="00003091">
        <w:t xml:space="preserve">CIPFA </w:t>
      </w:r>
      <w:r w:rsidR="00261E87" w:rsidRPr="00003091">
        <w:t>and the</w:t>
      </w:r>
      <w:r w:rsidRPr="00003091">
        <w:t xml:space="preserve"> </w:t>
      </w:r>
      <w:r w:rsidR="00003091">
        <w:t>government department.</w:t>
      </w:r>
    </w:p>
    <w:p w14:paraId="33CF2518" w14:textId="77777777" w:rsidR="00C742C9" w:rsidRPr="00044115" w:rsidRDefault="00BC5B1D" w:rsidP="00177EA0">
      <w:pPr>
        <w:jc w:val="both"/>
        <w:rPr>
          <w:highlight w:val="green"/>
        </w:rPr>
      </w:pPr>
      <w:r w:rsidRPr="00044115">
        <w:rPr>
          <w:highlight w:val="green"/>
        </w:rPr>
        <w:t xml:space="preserve"> </w:t>
      </w:r>
    </w:p>
    <w:p w14:paraId="2CCECEE1" w14:textId="77777777" w:rsidR="00C742C9" w:rsidRPr="00003091" w:rsidRDefault="00BC5B1D" w:rsidP="00C742C9">
      <w:pPr>
        <w:jc w:val="both"/>
      </w:pPr>
      <w:r w:rsidRPr="00003091">
        <w:t xml:space="preserve">The guidance requires treasury management investments </w:t>
      </w:r>
      <w:r w:rsidR="006928A6" w:rsidRPr="00003091">
        <w:t xml:space="preserve">to </w:t>
      </w:r>
      <w:r w:rsidRPr="00003091">
        <w:t>prioritise security, liquidity and yield in that order of importance. The council will not make any investments wi</w:t>
      </w:r>
      <w:r w:rsidRPr="00003091">
        <w:t>th low credit quality bodies, nor any that are defined as capital expenditure by legislation, such as company shares.</w:t>
      </w:r>
    </w:p>
    <w:p w14:paraId="14E35A51" w14:textId="77777777" w:rsidR="00C742C9" w:rsidRPr="00003091" w:rsidRDefault="00C742C9" w:rsidP="00C742C9">
      <w:pPr>
        <w:jc w:val="both"/>
      </w:pPr>
    </w:p>
    <w:p w14:paraId="710CA153" w14:textId="77777777" w:rsidR="00C742C9" w:rsidRPr="00003091" w:rsidRDefault="00BC5B1D" w:rsidP="00C742C9">
      <w:pPr>
        <w:jc w:val="both"/>
        <w:rPr>
          <w:bCs/>
        </w:rPr>
      </w:pPr>
      <w:r w:rsidRPr="00003091">
        <w:rPr>
          <w:bCs/>
        </w:rPr>
        <w:t xml:space="preserve">The council has in recent years pursued a policy to hold as investments a sum as close as possible to the cash value of its </w:t>
      </w:r>
      <w:r w:rsidRPr="00003091">
        <w:rPr>
          <w:bCs/>
        </w:rPr>
        <w:t>reserves and balances. This policy will continue but it will be regularly reviewed to ens</w:t>
      </w:r>
      <w:r w:rsidR="009F6C5A" w:rsidRPr="00003091">
        <w:rPr>
          <w:bCs/>
        </w:rPr>
        <w:t xml:space="preserve">ure value for money is achieved especially with the </w:t>
      </w:r>
      <w:r w:rsidR="00003091" w:rsidRPr="00003091">
        <w:rPr>
          <w:bCs/>
        </w:rPr>
        <w:t>low</w:t>
      </w:r>
      <w:r w:rsidR="009F6C5A" w:rsidRPr="00003091">
        <w:rPr>
          <w:bCs/>
        </w:rPr>
        <w:t xml:space="preserve"> interest rates.</w:t>
      </w:r>
    </w:p>
    <w:p w14:paraId="0C95ED6F" w14:textId="77777777" w:rsidR="00C742C9" w:rsidRPr="00044115" w:rsidRDefault="00C742C9" w:rsidP="00C742C9">
      <w:pPr>
        <w:jc w:val="both"/>
        <w:rPr>
          <w:highlight w:val="green"/>
        </w:rPr>
      </w:pPr>
    </w:p>
    <w:p w14:paraId="6EC26D99" w14:textId="77777777" w:rsidR="00C742C9" w:rsidRPr="00003091" w:rsidRDefault="00BC5B1D" w:rsidP="00717E3A">
      <w:pPr>
        <w:jc w:val="both"/>
        <w:rPr>
          <w:b/>
          <w:i/>
        </w:rPr>
      </w:pPr>
      <w:r w:rsidRPr="00003091">
        <w:rPr>
          <w:b/>
          <w:i/>
        </w:rPr>
        <w:t>Business model for holding investments</w:t>
      </w:r>
    </w:p>
    <w:p w14:paraId="33F38237" w14:textId="77777777" w:rsidR="00717E3A" w:rsidRPr="00003091" w:rsidRDefault="00717E3A" w:rsidP="00717E3A">
      <w:pPr>
        <w:jc w:val="both"/>
        <w:rPr>
          <w:b/>
          <w:i/>
        </w:rPr>
      </w:pPr>
    </w:p>
    <w:p w14:paraId="1FD746BB" w14:textId="77777777" w:rsidR="00C742C9" w:rsidRPr="00003091" w:rsidRDefault="00BC5B1D" w:rsidP="00C742C9">
      <w:pPr>
        <w:spacing w:after="240"/>
        <w:jc w:val="both"/>
      </w:pPr>
      <w:r w:rsidRPr="00003091">
        <w:t>Under the IFRS 9 (International Financial Reporting Standard), the accounting for certain investments depends on the council’s “business model” for managing them. In general, the authority holds investments to either collect the contractual cash-flows or a</w:t>
      </w:r>
      <w:r w:rsidRPr="00003091">
        <w:t xml:space="preserve"> mixture of holding for the contractual cash-flows and sale proceeds. Neither of these would result in changes in market value having to be a charge against </w:t>
      </w:r>
      <w:r w:rsidR="00261E87" w:rsidRPr="00003091">
        <w:t>c</w:t>
      </w:r>
      <w:r w:rsidRPr="00003091">
        <w:t xml:space="preserve">ouncil </w:t>
      </w:r>
      <w:r w:rsidR="00261E87" w:rsidRPr="00003091">
        <w:t>t</w:t>
      </w:r>
      <w:r w:rsidRPr="00003091">
        <w:t>ax at year end. However, if investment assets are held for the purpose of trading any chan</w:t>
      </w:r>
      <w:r w:rsidRPr="00003091">
        <w:t>ges in the asset value is charged to the accounts. The business model for the main treasury management investments are as follows:</w:t>
      </w:r>
    </w:p>
    <w:p w14:paraId="20C14A1A" w14:textId="77777777" w:rsidR="00C742C9" w:rsidRPr="00003091" w:rsidRDefault="00BC5B1D" w:rsidP="00177EA0">
      <w:pPr>
        <w:jc w:val="both"/>
      </w:pPr>
      <w:r w:rsidRPr="00003091">
        <w:rPr>
          <w:u w:val="single"/>
        </w:rPr>
        <w:t>Local authority investments</w:t>
      </w:r>
      <w:r w:rsidRPr="00003091">
        <w:t xml:space="preserve"> - these are principally investments for a fixed term which are held to maturity. In addition, the</w:t>
      </w:r>
      <w:r w:rsidRPr="00003091">
        <w:t xml:space="preserve"> authority holds some long</w:t>
      </w:r>
      <w:r w:rsidR="0097530F">
        <w:t>-</w:t>
      </w:r>
      <w:r w:rsidRPr="00003091">
        <w:t xml:space="preserve">term bonds issued by local authorities which are also held to maturity. In both cases interest is received on agreed dates and are held for the contractual cash-flows therefore they will be valued at amortised cost.   </w:t>
      </w:r>
    </w:p>
    <w:p w14:paraId="32449CF1" w14:textId="77777777" w:rsidR="00177EA0" w:rsidRPr="00003091" w:rsidRDefault="00177EA0" w:rsidP="00177EA0">
      <w:pPr>
        <w:jc w:val="both"/>
        <w:rPr>
          <w:sz w:val="12"/>
          <w:szCs w:val="12"/>
        </w:rPr>
      </w:pPr>
    </w:p>
    <w:p w14:paraId="0D4586B2" w14:textId="77777777" w:rsidR="00C742C9" w:rsidRPr="00003091" w:rsidRDefault="00BC5B1D" w:rsidP="00C742C9">
      <w:pPr>
        <w:spacing w:after="240"/>
        <w:jc w:val="both"/>
      </w:pPr>
      <w:r w:rsidRPr="00003091">
        <w:rPr>
          <w:u w:val="single"/>
        </w:rPr>
        <w:t>Gilts</w:t>
      </w:r>
      <w:r w:rsidRPr="00003091">
        <w:t xml:space="preserve"> - t</w:t>
      </w:r>
      <w:r w:rsidRPr="00003091">
        <w:t xml:space="preserve">he holding of </w:t>
      </w:r>
      <w:r w:rsidR="00C302E5" w:rsidRPr="00003091">
        <w:t>g</w:t>
      </w:r>
      <w:r w:rsidRPr="00003091">
        <w:t>ilts represent a key part of the strategy for holding investments to back up the reserves and balances while maintaining a low credit risk portfolio. They are also a liquid asset and periodic sales will be incurred in reaction to market move</w:t>
      </w:r>
      <w:r w:rsidRPr="00003091">
        <w:t xml:space="preserve">ments to enhance the overall yield of the holdings but this is not the primary aim of the holding and therefore </w:t>
      </w:r>
      <w:r w:rsidR="00C302E5" w:rsidRPr="00003091">
        <w:t>g</w:t>
      </w:r>
      <w:r w:rsidRPr="00003091">
        <w:t xml:space="preserve">ilts will be held at fair value through </w:t>
      </w:r>
      <w:r w:rsidR="00261E87" w:rsidRPr="00003091">
        <w:t>'</w:t>
      </w:r>
      <w:r w:rsidRPr="00003091">
        <w:t xml:space="preserve">other comprehensive </w:t>
      </w:r>
      <w:r w:rsidR="00FA663D" w:rsidRPr="00003091">
        <w:t>income' which</w:t>
      </w:r>
      <w:r w:rsidRPr="00003091">
        <w:t xml:space="preserve"> means that market value changes will not be charged against </w:t>
      </w:r>
      <w:r w:rsidR="00261E87" w:rsidRPr="00003091">
        <w:t>c</w:t>
      </w:r>
      <w:r w:rsidRPr="00003091">
        <w:t xml:space="preserve">ouncil </w:t>
      </w:r>
      <w:r w:rsidR="00261E87" w:rsidRPr="00003091">
        <w:t>t</w:t>
      </w:r>
      <w:r w:rsidRPr="00003091">
        <w:t xml:space="preserve">ax.    </w:t>
      </w:r>
    </w:p>
    <w:p w14:paraId="3F4D1688" w14:textId="77777777" w:rsidR="00C742C9" w:rsidRPr="00003091" w:rsidRDefault="00BC5B1D" w:rsidP="00C742C9">
      <w:pPr>
        <w:spacing w:after="240"/>
        <w:jc w:val="both"/>
      </w:pPr>
      <w:r w:rsidRPr="00003091">
        <w:rPr>
          <w:u w:val="single"/>
        </w:rPr>
        <w:lastRenderedPageBreak/>
        <w:t>Other bonds</w:t>
      </w:r>
      <w:r w:rsidRPr="00003091">
        <w:t xml:space="preserve"> - the council also holds other high credit quality corporate bonds. These are held primarily for the purposes of liquidity providing a low credit risk holding. These are bought and sold in relation to cash needs and therefore the valua</w:t>
      </w:r>
      <w:r w:rsidRPr="00003091">
        <w:t xml:space="preserve">tion will be such that the market value changes will not be charged against </w:t>
      </w:r>
      <w:r w:rsidR="00DB75B2" w:rsidRPr="00003091">
        <w:t>c</w:t>
      </w:r>
      <w:r w:rsidRPr="00003091">
        <w:t xml:space="preserve">ouncil </w:t>
      </w:r>
      <w:r w:rsidR="00DB75B2" w:rsidRPr="00003091">
        <w:t>t</w:t>
      </w:r>
      <w:r w:rsidRPr="00003091">
        <w:t xml:space="preserve">ax.       </w:t>
      </w:r>
    </w:p>
    <w:p w14:paraId="0B663E45" w14:textId="77777777" w:rsidR="00C742C9" w:rsidRPr="00BC1B7A" w:rsidRDefault="00BC5B1D" w:rsidP="00C742C9">
      <w:pPr>
        <w:jc w:val="both"/>
        <w:rPr>
          <w:b/>
          <w:i/>
        </w:rPr>
      </w:pPr>
      <w:r w:rsidRPr="00BC1B7A">
        <w:rPr>
          <w:b/>
          <w:i/>
        </w:rPr>
        <w:t>Approved counterparties</w:t>
      </w:r>
      <w:r w:rsidR="00003091" w:rsidRPr="00BC1B7A">
        <w:rPr>
          <w:b/>
          <w:i/>
        </w:rPr>
        <w:t xml:space="preserve"> </w:t>
      </w:r>
    </w:p>
    <w:p w14:paraId="6C6F8EE4" w14:textId="77777777" w:rsidR="00717E3A" w:rsidRPr="00BC1B7A" w:rsidRDefault="00717E3A" w:rsidP="00C742C9">
      <w:pPr>
        <w:jc w:val="both"/>
        <w:rPr>
          <w:i/>
        </w:rPr>
      </w:pPr>
    </w:p>
    <w:p w14:paraId="0EC9B904" w14:textId="77777777" w:rsidR="00C742C9" w:rsidRPr="00BC1B7A" w:rsidRDefault="00BC5B1D">
      <w:pPr>
        <w:jc w:val="both"/>
      </w:pPr>
      <w:r w:rsidRPr="00BC1B7A">
        <w:t xml:space="preserve">The counterparty credit matrix is at the heart of the council's treasury management strategy and has always been conservatively constructed to protect the council against credit risk whilst allowing for efficient and prudent investment activity. </w:t>
      </w:r>
    </w:p>
    <w:p w14:paraId="6BCB8F6A" w14:textId="77777777" w:rsidR="00C742C9" w:rsidRPr="00BC1B7A" w:rsidRDefault="00C742C9" w:rsidP="00C742C9">
      <w:pPr>
        <w:jc w:val="both"/>
      </w:pPr>
    </w:p>
    <w:p w14:paraId="7B49C1DA" w14:textId="77777777" w:rsidR="00C742C9" w:rsidRPr="00BC1B7A" w:rsidRDefault="00BC5B1D" w:rsidP="00C742C9">
      <w:pPr>
        <w:jc w:val="both"/>
        <w:rPr>
          <w:b/>
        </w:rPr>
      </w:pPr>
      <w:r w:rsidRPr="00BC1B7A">
        <w:t>However,</w:t>
      </w:r>
      <w:r w:rsidRPr="00BC1B7A">
        <w:t xml:space="preserve"> the council does not rely solely on credit ratings in assessing counterparties. Other market information is also monitored such as information from the credit default swap market and any press releases in general. In this way ensuring the council transact</w:t>
      </w:r>
      <w:r w:rsidRPr="00BC1B7A">
        <w:t>s with only the highest quality counterparties</w:t>
      </w:r>
      <w:r w:rsidRPr="00BC1B7A">
        <w:rPr>
          <w:b/>
        </w:rPr>
        <w:t xml:space="preserve">.  </w:t>
      </w:r>
    </w:p>
    <w:p w14:paraId="579EBB36" w14:textId="77777777" w:rsidR="00C742C9" w:rsidRPr="00BC1B7A" w:rsidRDefault="00C742C9" w:rsidP="00C742C9">
      <w:pPr>
        <w:jc w:val="both"/>
        <w:rPr>
          <w:b/>
        </w:rPr>
      </w:pPr>
    </w:p>
    <w:p w14:paraId="7F80D98F" w14:textId="77777777" w:rsidR="00C742C9" w:rsidRPr="00BC1B7A" w:rsidRDefault="00BC5B1D" w:rsidP="00C742C9">
      <w:pPr>
        <w:jc w:val="both"/>
      </w:pPr>
      <w:r w:rsidRPr="00BC1B7A">
        <w:t>The council requires very high credit ratings for an organisation to be considered a suitable counterparty for investment purposes</w:t>
      </w:r>
      <w:r w:rsidR="00BC1B7A" w:rsidRPr="00BC1B7A">
        <w:t xml:space="preserve"> however the 2022/23 policy contains a one notch reduction in required credit quality, as measured by Moody's long-term ratings, to reflect the downgrading of the UK sovereign rating from Aa2 to Aa3 in October 2020. The short-term ratings have not changed.</w:t>
      </w:r>
      <w:r w:rsidRPr="00BC1B7A">
        <w:t xml:space="preserve"> </w:t>
      </w:r>
      <w:r w:rsidR="00BC1B7A">
        <w:t>The credit ratings are as</w:t>
      </w:r>
      <w:r w:rsidRPr="00BC1B7A">
        <w:t xml:space="preserve"> follows:</w:t>
      </w:r>
    </w:p>
    <w:p w14:paraId="0D274614" w14:textId="77777777" w:rsidR="00C742C9" w:rsidRPr="00044115" w:rsidRDefault="00C742C9" w:rsidP="00C742C9">
      <w:pPr>
        <w:jc w:val="both"/>
        <w:rPr>
          <w:highlight w:val="green"/>
        </w:rPr>
      </w:pPr>
    </w:p>
    <w:p w14:paraId="36B81BF2" w14:textId="77777777" w:rsidR="00C742C9" w:rsidRDefault="00BC5B1D" w:rsidP="00C742C9">
      <w:pPr>
        <w:jc w:val="both"/>
      </w:pPr>
      <w:r w:rsidRPr="00BC1B7A">
        <w:t>F</w:t>
      </w:r>
      <w:r w:rsidR="00C302E5" w:rsidRPr="00BC1B7A">
        <w:t>or short term lending of up to one</w:t>
      </w:r>
      <w:r w:rsidRPr="00BC1B7A">
        <w:t xml:space="preserve"> ye</w:t>
      </w:r>
      <w:r w:rsidRPr="00BC1B7A">
        <w:t>ar, the short</w:t>
      </w:r>
      <w:r w:rsidR="0097530F">
        <w:t>-</w:t>
      </w:r>
      <w:r w:rsidRPr="00BC1B7A">
        <w:t xml:space="preserve">term ratings from the ratings agencies </w:t>
      </w:r>
      <w:r w:rsidR="00DB75B2" w:rsidRPr="00BC1B7A">
        <w:t xml:space="preserve">will </w:t>
      </w:r>
      <w:r w:rsidRPr="00BC1B7A">
        <w:t>be used and that a counterparty must have a minimum of the following:</w:t>
      </w:r>
    </w:p>
    <w:p w14:paraId="5014F2F9" w14:textId="77777777" w:rsidR="0097530F" w:rsidRPr="00BC1B7A" w:rsidRDefault="0097530F" w:rsidP="00C742C9">
      <w:pPr>
        <w:jc w:val="both"/>
      </w:pPr>
    </w:p>
    <w:p w14:paraId="4EBA0F0D" w14:textId="77777777" w:rsidR="00C742C9" w:rsidRPr="00BC1B7A" w:rsidRDefault="00BC5B1D" w:rsidP="00717E3A">
      <w:pPr>
        <w:ind w:firstLine="720"/>
        <w:jc w:val="both"/>
      </w:pPr>
      <w:r w:rsidRPr="00BC1B7A">
        <w:t>Moody's</w:t>
      </w:r>
      <w:r w:rsidRPr="00BC1B7A">
        <w:tab/>
        <w:t>P1</w:t>
      </w:r>
    </w:p>
    <w:p w14:paraId="52E04255" w14:textId="77777777" w:rsidR="00C742C9" w:rsidRPr="00BC1B7A" w:rsidRDefault="00BC5B1D" w:rsidP="00717E3A">
      <w:pPr>
        <w:ind w:firstLine="720"/>
        <w:jc w:val="both"/>
      </w:pPr>
      <w:r w:rsidRPr="00BC1B7A">
        <w:t>S&amp;P</w:t>
      </w:r>
      <w:r w:rsidRPr="00BC1B7A">
        <w:tab/>
      </w:r>
      <w:r w:rsidRPr="00BC1B7A">
        <w:tab/>
        <w:t>A1</w:t>
      </w:r>
    </w:p>
    <w:p w14:paraId="005DA434" w14:textId="77777777" w:rsidR="00C742C9" w:rsidRPr="00BC1B7A" w:rsidRDefault="00BC5B1D" w:rsidP="00717E3A">
      <w:pPr>
        <w:ind w:firstLine="720"/>
        <w:jc w:val="both"/>
      </w:pPr>
      <w:r w:rsidRPr="00BC1B7A">
        <w:t>Fitch</w:t>
      </w:r>
      <w:r w:rsidRPr="00BC1B7A">
        <w:tab/>
      </w:r>
      <w:r w:rsidRPr="00BC1B7A">
        <w:tab/>
        <w:t>F1</w:t>
      </w:r>
    </w:p>
    <w:p w14:paraId="237112E5" w14:textId="77777777" w:rsidR="00C742C9" w:rsidRPr="00BC1B7A" w:rsidRDefault="00C742C9" w:rsidP="00C742C9">
      <w:pPr>
        <w:ind w:firstLine="720"/>
        <w:jc w:val="both"/>
      </w:pPr>
    </w:p>
    <w:p w14:paraId="43EE90EB" w14:textId="77777777" w:rsidR="00C742C9" w:rsidRPr="00BC1B7A" w:rsidRDefault="00BC5B1D" w:rsidP="00C742C9">
      <w:pPr>
        <w:jc w:val="both"/>
        <w:rPr>
          <w:b/>
          <w:u w:val="single"/>
        </w:rPr>
      </w:pPr>
      <w:r w:rsidRPr="00BC1B7A">
        <w:t>Short term ratings were specifically created by the agencies for money market investors as they r</w:t>
      </w:r>
      <w:r w:rsidRPr="00BC1B7A">
        <w:t>eflect specifically the liquidity positions of the institutions concerned.</w:t>
      </w:r>
    </w:p>
    <w:p w14:paraId="323A524D" w14:textId="77777777" w:rsidR="00C742C9" w:rsidRPr="00044115" w:rsidRDefault="00C742C9" w:rsidP="00C742C9">
      <w:pPr>
        <w:jc w:val="both"/>
        <w:rPr>
          <w:highlight w:val="green"/>
        </w:rPr>
      </w:pPr>
    </w:p>
    <w:p w14:paraId="02742007" w14:textId="77777777" w:rsidR="00C742C9" w:rsidRPr="00BC1B7A" w:rsidRDefault="00BC5B1D" w:rsidP="00C742C9">
      <w:pPr>
        <w:jc w:val="both"/>
      </w:pPr>
      <w:r w:rsidRPr="00BC1B7A">
        <w:t xml:space="preserve">For medium term investments in the form of tradeable bonds or certificates of deposit (1 to 5 years, where immediate liquidation can be demonstrated), a blended average of the </w:t>
      </w:r>
      <w:r w:rsidRPr="00BC1B7A">
        <w:t>ratings will be taken (averaging across all available ratings), with a minimum of:</w:t>
      </w:r>
    </w:p>
    <w:p w14:paraId="3BFD6E08" w14:textId="77777777" w:rsidR="00C742C9" w:rsidRPr="00BC1B7A" w:rsidRDefault="00BC5B1D" w:rsidP="00717E3A">
      <w:pPr>
        <w:ind w:left="720"/>
        <w:jc w:val="both"/>
      </w:pPr>
      <w:r w:rsidRPr="00BC1B7A">
        <w:t xml:space="preserve">Long term </w:t>
      </w:r>
      <w:r w:rsidRPr="00BC1B7A">
        <w:tab/>
      </w:r>
      <w:r w:rsidR="00BC1B7A" w:rsidRPr="00BC1B7A">
        <w:t>A2/A</w:t>
      </w:r>
      <w:r w:rsidRPr="00BC1B7A">
        <w:t xml:space="preserve"> </w:t>
      </w:r>
    </w:p>
    <w:p w14:paraId="0472F950" w14:textId="77777777" w:rsidR="00C742C9" w:rsidRPr="00BC1B7A" w:rsidRDefault="00BC5B1D" w:rsidP="00717E3A">
      <w:pPr>
        <w:ind w:firstLine="720"/>
        <w:jc w:val="both"/>
      </w:pPr>
      <w:r w:rsidRPr="00BC1B7A">
        <w:t xml:space="preserve">Short term </w:t>
      </w:r>
      <w:r w:rsidRPr="00BC1B7A">
        <w:tab/>
        <w:t xml:space="preserve">P1/F1+/A1+ </w:t>
      </w:r>
    </w:p>
    <w:p w14:paraId="49D3125B" w14:textId="77777777" w:rsidR="00C742C9" w:rsidRPr="00044115" w:rsidRDefault="00C742C9" w:rsidP="00C742C9">
      <w:pPr>
        <w:jc w:val="both"/>
        <w:rPr>
          <w:highlight w:val="green"/>
        </w:rPr>
      </w:pPr>
    </w:p>
    <w:p w14:paraId="417411EA" w14:textId="77777777" w:rsidR="00C742C9" w:rsidRPr="00BC1B7A" w:rsidRDefault="00BC5B1D" w:rsidP="00C742C9">
      <w:pPr>
        <w:jc w:val="both"/>
      </w:pPr>
      <w:r w:rsidRPr="00BC1B7A">
        <w:t>For longer term investments (</w:t>
      </w:r>
      <w:r w:rsidR="00C302E5" w:rsidRPr="00BC1B7A">
        <w:t>five</w:t>
      </w:r>
      <w:r w:rsidRPr="00BC1B7A">
        <w:t xml:space="preserve"> years and above) in the form of tradeable bonds where immediate liquidation can be demonstrated, </w:t>
      </w:r>
      <w:r w:rsidRPr="00BC1B7A">
        <w:t>a blended average of the ratings will be taken, with a minimum of:</w:t>
      </w:r>
    </w:p>
    <w:p w14:paraId="1CE00438" w14:textId="77777777" w:rsidR="00C742C9" w:rsidRPr="00BC1B7A" w:rsidRDefault="00BC5B1D" w:rsidP="00717E3A">
      <w:pPr>
        <w:ind w:left="1418" w:hanging="698"/>
        <w:jc w:val="both"/>
      </w:pPr>
      <w:r w:rsidRPr="00BC1B7A">
        <w:t xml:space="preserve">Long term </w:t>
      </w:r>
      <w:r w:rsidRPr="00BC1B7A">
        <w:tab/>
      </w:r>
      <w:r w:rsidR="00BC1B7A" w:rsidRPr="00BC1B7A">
        <w:t>A1/A+</w:t>
      </w:r>
    </w:p>
    <w:p w14:paraId="590E9363" w14:textId="77777777" w:rsidR="00C742C9" w:rsidRPr="00BC1B7A" w:rsidRDefault="00BC5B1D" w:rsidP="00717E3A">
      <w:pPr>
        <w:ind w:left="1418" w:hanging="698"/>
        <w:jc w:val="both"/>
      </w:pPr>
      <w:r w:rsidRPr="00BC1B7A">
        <w:t xml:space="preserve">Short term </w:t>
      </w:r>
      <w:r w:rsidRPr="00BC1B7A">
        <w:tab/>
        <w:t>P1/A1+/F1+</w:t>
      </w:r>
    </w:p>
    <w:p w14:paraId="1F391BE7" w14:textId="77777777" w:rsidR="00177EA0" w:rsidRPr="00BC1B7A" w:rsidRDefault="00177EA0" w:rsidP="00C742C9">
      <w:pPr>
        <w:ind w:left="1418" w:hanging="1418"/>
        <w:jc w:val="both"/>
      </w:pPr>
    </w:p>
    <w:p w14:paraId="6CF025B6" w14:textId="77777777" w:rsidR="00C742C9" w:rsidRDefault="00BC5B1D" w:rsidP="00C742C9">
      <w:pPr>
        <w:jc w:val="both"/>
      </w:pPr>
      <w:r w:rsidRPr="00BC1B7A">
        <w:t>The detailed calculation methodology of the blended average will be agreed with the council's advisers and set out in the treasury management practi</w:t>
      </w:r>
      <w:r w:rsidRPr="00BC1B7A">
        <w:t>ces document.</w:t>
      </w:r>
    </w:p>
    <w:p w14:paraId="53E3AB2E" w14:textId="77777777" w:rsidR="0097530F" w:rsidRPr="00BC1B7A" w:rsidRDefault="0097530F" w:rsidP="00C742C9">
      <w:pPr>
        <w:jc w:val="both"/>
      </w:pPr>
    </w:p>
    <w:p w14:paraId="602AEB7C" w14:textId="77777777" w:rsidR="00C742C9" w:rsidRDefault="00BC5B1D" w:rsidP="00C742C9">
      <w:pPr>
        <w:spacing w:after="240"/>
        <w:jc w:val="both"/>
      </w:pPr>
      <w:r w:rsidRPr="00BC1B7A">
        <w:t xml:space="preserve">If the counterparty of an existing investment falls outside the policy due to a change in credit rating, full consideration will be made, taking into account all relevant </w:t>
      </w:r>
      <w:r w:rsidRPr="00BC1B7A">
        <w:lastRenderedPageBreak/>
        <w:t>information, as to whether a premature settlement of the investment should be negotia</w:t>
      </w:r>
      <w:r w:rsidRPr="00BC1B7A">
        <w:t>ted.</w:t>
      </w:r>
    </w:p>
    <w:p w14:paraId="6998E3D6" w14:textId="77777777" w:rsidR="00CF7F22" w:rsidRDefault="00BC5B1D" w:rsidP="00C742C9">
      <w:pPr>
        <w:spacing w:after="240"/>
        <w:jc w:val="both"/>
      </w:pPr>
      <w:r w:rsidRPr="00CF7F22">
        <w:t>The minimum sovereign rating for investment as issued by Moody's is A1 which is one notch below the UK and the same as Lancashire County Council. The UK's latest rating issued by Moody's is a long</w:t>
      </w:r>
      <w:r w:rsidR="0097530F">
        <w:t>-</w:t>
      </w:r>
      <w:r w:rsidRPr="00CF7F22">
        <w:t>term rating of Aa3 which is the fourth highest grade.</w:t>
      </w:r>
    </w:p>
    <w:p w14:paraId="2969893F" w14:textId="77777777" w:rsidR="00C742C9" w:rsidRPr="0097530F" w:rsidRDefault="00BC5B1D" w:rsidP="00C742C9">
      <w:pPr>
        <w:jc w:val="both"/>
      </w:pPr>
      <w:r w:rsidRPr="0097530F">
        <w:t xml:space="preserve">Although the rating still falls within the current strategy it is possible if there is an economic downturn that there will be further downgrades. This could result in investments in UK government </w:t>
      </w:r>
      <w:r w:rsidR="00C302E5" w:rsidRPr="0097530F">
        <w:t>g</w:t>
      </w:r>
      <w:r w:rsidRPr="0097530F">
        <w:t>ilts, treasury bonds and bodies guaranteed by the UK gover</w:t>
      </w:r>
      <w:r w:rsidRPr="0097530F">
        <w:t>nment falling outside the treasury management strategy. However, even if there is a further reduction in the UK credit rating, the UK government is still deemed a safe investment. The government has never defaulted on its payments and as an ultimate soluti</w:t>
      </w:r>
      <w:r w:rsidRPr="0097530F">
        <w:t>on it could prevent insolvency by printing money. Therefore</w:t>
      </w:r>
      <w:r w:rsidR="0097530F">
        <w:t>,</w:t>
      </w:r>
      <w:r w:rsidRPr="0097530F">
        <w:t xml:space="preserve"> it is proposed that the minimum sovereign rating is not applied to the UK. </w:t>
      </w:r>
    </w:p>
    <w:p w14:paraId="50C2FD11" w14:textId="77777777" w:rsidR="00C742C9" w:rsidRPr="00044115" w:rsidRDefault="00C742C9" w:rsidP="00C742C9">
      <w:pPr>
        <w:jc w:val="both"/>
        <w:rPr>
          <w:highlight w:val="green"/>
        </w:rPr>
      </w:pPr>
    </w:p>
    <w:p w14:paraId="63736471" w14:textId="77777777" w:rsidR="00C742C9" w:rsidRDefault="00BC5B1D" w:rsidP="00C742C9">
      <w:pPr>
        <w:jc w:val="both"/>
      </w:pPr>
      <w:r w:rsidRPr="00CF7F22">
        <w:t>The table below shows the approved investment counterparties and limits:</w:t>
      </w:r>
    </w:p>
    <w:p w14:paraId="5CE13923" w14:textId="77777777" w:rsidR="0097530F" w:rsidRPr="00CF7F22" w:rsidRDefault="0097530F" w:rsidP="00C742C9">
      <w:pPr>
        <w:jc w:val="both"/>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1416"/>
        <w:gridCol w:w="1276"/>
        <w:gridCol w:w="1276"/>
        <w:gridCol w:w="1982"/>
      </w:tblGrid>
      <w:tr w:rsidR="00937FCD" w14:paraId="194B14BF" w14:textId="77777777"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4759D7BE" w14:textId="77777777" w:rsidR="00C742C9" w:rsidRPr="00CF7F22" w:rsidRDefault="00BC5B1D" w:rsidP="00C742C9">
            <w:pPr>
              <w:rPr>
                <w:sz w:val="20"/>
                <w:szCs w:val="20"/>
              </w:rPr>
            </w:pPr>
            <w:bookmarkStart w:id="1" w:name="_Hlk92970808"/>
            <w:bookmarkStart w:id="2" w:name="_Hlk92970783"/>
            <w:r w:rsidRPr="00CF7F22">
              <w:rPr>
                <w:sz w:val="20"/>
                <w:szCs w:val="20"/>
              </w:rPr>
              <w:t>Instrument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5CB680AB" w14:textId="77777777" w:rsidR="00C742C9" w:rsidRPr="00CF7F22" w:rsidRDefault="00BC5B1D" w:rsidP="00C742C9">
            <w:pPr>
              <w:rPr>
                <w:sz w:val="20"/>
                <w:szCs w:val="20"/>
              </w:rPr>
            </w:pPr>
            <w:r w:rsidRPr="00CF7F22">
              <w:rPr>
                <w:sz w:val="20"/>
                <w:szCs w:val="20"/>
              </w:rPr>
              <w:t>Minimum Credit Rating (blended av</w:t>
            </w:r>
            <w:r w:rsidRPr="00CF7F22">
              <w:rPr>
                <w:sz w:val="20"/>
                <w:szCs w:val="20"/>
              </w:rPr>
              <w:t>erage)</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073087F" w14:textId="77777777" w:rsidR="00C742C9" w:rsidRPr="00CF7F22" w:rsidRDefault="00BC5B1D" w:rsidP="00C742C9">
            <w:pPr>
              <w:rPr>
                <w:sz w:val="20"/>
                <w:szCs w:val="20"/>
              </w:rPr>
            </w:pPr>
            <w:r w:rsidRPr="00CF7F22">
              <w:rPr>
                <w:sz w:val="20"/>
                <w:szCs w:val="20"/>
              </w:rPr>
              <w:t>Maximum individual Investment (£m)</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819CAF3" w14:textId="77777777" w:rsidR="00C742C9" w:rsidRPr="00CF7F22" w:rsidRDefault="00BC5B1D" w:rsidP="00C742C9">
            <w:pPr>
              <w:rPr>
                <w:sz w:val="20"/>
                <w:szCs w:val="20"/>
              </w:rPr>
            </w:pPr>
            <w:r w:rsidRPr="00CF7F22">
              <w:rPr>
                <w:sz w:val="20"/>
                <w:szCs w:val="20"/>
              </w:rPr>
              <w:t>Maximum total Investment (£m)</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08BABCF" w14:textId="77777777" w:rsidR="00C742C9" w:rsidRPr="00CF7F22" w:rsidRDefault="00BC5B1D" w:rsidP="00C742C9">
            <w:pPr>
              <w:rPr>
                <w:sz w:val="20"/>
                <w:szCs w:val="20"/>
              </w:rPr>
            </w:pPr>
            <w:r w:rsidRPr="00CF7F22">
              <w:rPr>
                <w:sz w:val="20"/>
                <w:szCs w:val="20"/>
              </w:rPr>
              <w:t>Maximum Period</w:t>
            </w:r>
          </w:p>
        </w:tc>
      </w:tr>
      <w:bookmarkEnd w:id="1"/>
      <w:tr w:rsidR="00937FCD" w14:paraId="334F6606" w14:textId="77777777"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7067901E" w14:textId="77777777" w:rsidR="00C742C9" w:rsidRPr="00CF7F22" w:rsidRDefault="00BC5B1D" w:rsidP="00C742C9">
            <w:pPr>
              <w:contextualSpacing/>
              <w:rPr>
                <w:sz w:val="20"/>
                <w:szCs w:val="20"/>
              </w:rPr>
            </w:pPr>
            <w:r w:rsidRPr="00CF7F22">
              <w:rPr>
                <w:sz w:val="20"/>
                <w:szCs w:val="20"/>
              </w:rPr>
              <w:t>UK Government Gilts, Treasury Bills, Debt Management Office &amp; bodies guaranteed by UK Government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5010B998" w14:textId="77777777" w:rsidR="00C742C9" w:rsidRPr="00CF7F22" w:rsidRDefault="00BC5B1D" w:rsidP="00C742C9">
            <w:pPr>
              <w:contextualSpacing/>
              <w:rPr>
                <w:sz w:val="20"/>
                <w:szCs w:val="20"/>
              </w:rPr>
            </w:pPr>
            <w:r w:rsidRPr="00CF7F22">
              <w:rPr>
                <w:sz w:val="20"/>
                <w:szCs w:val="20"/>
              </w:rPr>
              <w:t>UK 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CACEF3C" w14:textId="77777777" w:rsidR="00C742C9" w:rsidRPr="00CF7F22" w:rsidRDefault="00BC5B1D" w:rsidP="00C742C9">
            <w:pPr>
              <w:contextualSpacing/>
              <w:jc w:val="center"/>
              <w:rPr>
                <w:sz w:val="20"/>
                <w:szCs w:val="20"/>
              </w:rPr>
            </w:pPr>
            <w:r w:rsidRPr="00CF7F22">
              <w:rPr>
                <w:sz w:val="20"/>
                <w:szCs w:val="20"/>
              </w:rPr>
              <w:t>unlimited</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162A3AC" w14:textId="77777777" w:rsidR="00C742C9" w:rsidRPr="00CF7F22" w:rsidRDefault="00BC5B1D" w:rsidP="00C742C9">
            <w:pPr>
              <w:contextualSpacing/>
              <w:jc w:val="center"/>
              <w:rPr>
                <w:sz w:val="20"/>
                <w:szCs w:val="20"/>
              </w:rPr>
            </w:pPr>
            <w:r w:rsidRPr="00CF7F22">
              <w:rPr>
                <w:sz w:val="20"/>
                <w:szCs w:val="20"/>
              </w:rPr>
              <w:t>Unlimited</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402DACEA" w14:textId="77777777" w:rsidR="00C742C9" w:rsidRPr="00CF7F22" w:rsidRDefault="00BC5B1D" w:rsidP="00C742C9">
            <w:pPr>
              <w:contextualSpacing/>
              <w:rPr>
                <w:sz w:val="20"/>
                <w:szCs w:val="20"/>
              </w:rPr>
            </w:pPr>
            <w:r w:rsidRPr="00CF7F22">
              <w:rPr>
                <w:sz w:val="20"/>
                <w:szCs w:val="20"/>
              </w:rPr>
              <w:t>No limit</w:t>
            </w:r>
          </w:p>
        </w:tc>
      </w:tr>
      <w:tr w:rsidR="00937FCD" w14:paraId="64A7F234" w14:textId="77777777" w:rsidTr="00177EA0">
        <w:trPr>
          <w:trHeight w:val="708"/>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0809D165" w14:textId="77777777" w:rsidR="00C742C9" w:rsidRPr="00CF7F22" w:rsidRDefault="00BC5B1D" w:rsidP="00C742C9">
            <w:pPr>
              <w:contextualSpacing/>
              <w:rPr>
                <w:sz w:val="20"/>
                <w:szCs w:val="20"/>
              </w:rPr>
            </w:pPr>
            <w:r w:rsidRPr="00CF7F22">
              <w:rPr>
                <w:sz w:val="20"/>
                <w:szCs w:val="20"/>
              </w:rPr>
              <w:t xml:space="preserve">Sterling Supranational Bonds &amp; Sterling Sovereign Bonds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7BB2C1AA" w14:textId="77777777" w:rsidR="00C742C9" w:rsidRPr="00CF7F22" w:rsidRDefault="00BC5B1D" w:rsidP="00C742C9">
            <w:pPr>
              <w:contextualSpacing/>
              <w:rPr>
                <w:sz w:val="20"/>
                <w:szCs w:val="20"/>
              </w:rPr>
            </w:pPr>
            <w:r w:rsidRPr="00CF7F22">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3BC9CE2" w14:textId="77777777" w:rsidR="00C742C9" w:rsidRPr="00CF7F22" w:rsidRDefault="00BC5B1D" w:rsidP="00C742C9">
            <w:pPr>
              <w:contextualSpacing/>
              <w:jc w:val="center"/>
              <w:rPr>
                <w:sz w:val="20"/>
                <w:szCs w:val="20"/>
              </w:rPr>
            </w:pPr>
            <w:r w:rsidRPr="00CF7F22">
              <w:rPr>
                <w:sz w:val="20"/>
                <w:szCs w:val="20"/>
              </w:rPr>
              <w:t>150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5DB42F9" w14:textId="77777777" w:rsidR="00C742C9" w:rsidRPr="00CF7F22" w:rsidRDefault="00BC5B1D" w:rsidP="00C742C9">
            <w:pPr>
              <w:contextualSpacing/>
              <w:jc w:val="center"/>
              <w:rPr>
                <w:sz w:val="20"/>
                <w:szCs w:val="20"/>
              </w:rPr>
            </w:pPr>
            <w:r w:rsidRPr="00CF7F22">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07A51F21" w14:textId="77777777" w:rsidR="00C742C9" w:rsidRPr="00CF7F22" w:rsidRDefault="00BC5B1D" w:rsidP="00C742C9">
            <w:pPr>
              <w:contextualSpacing/>
              <w:rPr>
                <w:sz w:val="20"/>
                <w:szCs w:val="20"/>
              </w:rPr>
            </w:pPr>
            <w:r w:rsidRPr="00CF7F22">
              <w:rPr>
                <w:sz w:val="20"/>
                <w:szCs w:val="20"/>
              </w:rPr>
              <w:t>No limit</w:t>
            </w:r>
          </w:p>
        </w:tc>
      </w:tr>
      <w:tr w:rsidR="00937FCD" w14:paraId="0775FFF3" w14:textId="77777777" w:rsidTr="00177EA0">
        <w:trPr>
          <w:trHeight w:val="70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A039E18" w14:textId="77777777" w:rsidR="00C742C9" w:rsidRPr="00CF7F22" w:rsidRDefault="00BC5B1D" w:rsidP="00C742C9">
            <w:pPr>
              <w:contextualSpacing/>
              <w:rPr>
                <w:sz w:val="20"/>
                <w:szCs w:val="20"/>
              </w:rPr>
            </w:pPr>
            <w:r w:rsidRPr="00CF7F22">
              <w:rPr>
                <w:sz w:val="20"/>
                <w:szCs w:val="20"/>
              </w:rPr>
              <w:t>Corporate Bonds (Short Term less than 1</w:t>
            </w:r>
            <w:r w:rsidR="00DB75B2" w:rsidRPr="00CF7F22">
              <w:rPr>
                <w:sz w:val="20"/>
                <w:szCs w:val="20"/>
              </w:rPr>
              <w:t xml:space="preserve"> year</w:t>
            </w:r>
            <w:r w:rsidRPr="00CF7F22">
              <w:rPr>
                <w:sz w:val="20"/>
                <w:szCs w:val="20"/>
              </w:rPr>
              <w:t xml:space="preserve"> to maturity)</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7D4B319" w14:textId="77777777" w:rsidR="00C742C9" w:rsidRPr="00CF7F22" w:rsidRDefault="00BC5B1D" w:rsidP="00C742C9">
            <w:pPr>
              <w:contextualSpacing/>
              <w:rPr>
                <w:sz w:val="20"/>
                <w:szCs w:val="20"/>
              </w:rPr>
            </w:pPr>
            <w:r w:rsidRPr="00CF7F22">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5E77848" w14:textId="77777777" w:rsidR="00C742C9" w:rsidRPr="00CF7F22" w:rsidRDefault="00BC5B1D" w:rsidP="00C742C9">
            <w:pPr>
              <w:contextualSpacing/>
              <w:jc w:val="center"/>
              <w:rPr>
                <w:sz w:val="20"/>
                <w:szCs w:val="20"/>
              </w:rPr>
            </w:pPr>
            <w:r w:rsidRPr="00CF7F22">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BFE56D2" w14:textId="77777777" w:rsidR="00C742C9" w:rsidRPr="00CF7F22" w:rsidRDefault="00BC5B1D" w:rsidP="00C742C9">
            <w:pPr>
              <w:contextualSpacing/>
              <w:jc w:val="center"/>
              <w:rPr>
                <w:sz w:val="20"/>
                <w:szCs w:val="20"/>
              </w:rPr>
            </w:pPr>
            <w:r w:rsidRPr="00CF7F22">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7558902" w14:textId="77777777" w:rsidR="00C742C9" w:rsidRPr="00CF7F22" w:rsidRDefault="00BC5B1D" w:rsidP="00C742C9">
            <w:pPr>
              <w:contextualSpacing/>
              <w:rPr>
                <w:sz w:val="20"/>
                <w:szCs w:val="20"/>
              </w:rPr>
            </w:pPr>
            <w:r w:rsidRPr="00CF7F22">
              <w:rPr>
                <w:sz w:val="20"/>
                <w:szCs w:val="20"/>
              </w:rPr>
              <w:t>1 year</w:t>
            </w:r>
          </w:p>
        </w:tc>
      </w:tr>
      <w:tr w:rsidR="00937FCD" w14:paraId="3BAE78A4" w14:textId="77777777" w:rsidTr="00177EA0">
        <w:trPr>
          <w:trHeight w:val="682"/>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54E8C82C" w14:textId="77777777" w:rsidR="00C742C9" w:rsidRPr="00CF7F22" w:rsidRDefault="00BC5B1D" w:rsidP="00C742C9">
            <w:pPr>
              <w:contextualSpacing/>
              <w:rPr>
                <w:sz w:val="20"/>
                <w:szCs w:val="20"/>
              </w:rPr>
            </w:pPr>
            <w:r w:rsidRPr="00CF7F22">
              <w:rPr>
                <w:sz w:val="20"/>
                <w:szCs w:val="20"/>
              </w:rPr>
              <w:t>Corporate Bonds (Medium term up to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15410FC" w14:textId="77777777" w:rsidR="00C742C9" w:rsidRPr="00CF7F22" w:rsidRDefault="00BC5B1D" w:rsidP="00C742C9">
            <w:pPr>
              <w:contextualSpacing/>
              <w:rPr>
                <w:sz w:val="20"/>
                <w:szCs w:val="20"/>
              </w:rPr>
            </w:pPr>
            <w:r w:rsidRPr="00CF7F22">
              <w:rPr>
                <w:sz w:val="20"/>
                <w:szCs w:val="20"/>
              </w:rPr>
              <w:t>AA-</w:t>
            </w:r>
          </w:p>
          <w:p w14:paraId="111C5496" w14:textId="77777777" w:rsidR="00C742C9" w:rsidRPr="00CF7F22" w:rsidRDefault="00BC5B1D" w:rsidP="00C742C9">
            <w:pPr>
              <w:contextualSpacing/>
              <w:rPr>
                <w:sz w:val="20"/>
                <w:szCs w:val="20"/>
              </w:rPr>
            </w:pPr>
            <w:r w:rsidRPr="00CF7F22">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6E5CB73" w14:textId="77777777" w:rsidR="00C742C9" w:rsidRPr="00CF7F22" w:rsidRDefault="00BC5B1D" w:rsidP="00C742C9">
            <w:pPr>
              <w:contextualSpacing/>
              <w:jc w:val="center"/>
              <w:rPr>
                <w:sz w:val="20"/>
                <w:szCs w:val="20"/>
              </w:rPr>
            </w:pPr>
            <w:r w:rsidRPr="00CF7F22">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8BAA84C" w14:textId="77777777" w:rsidR="00C742C9" w:rsidRPr="00CF7F22" w:rsidRDefault="00BC5B1D" w:rsidP="00C742C9">
            <w:pPr>
              <w:contextualSpacing/>
              <w:jc w:val="center"/>
              <w:rPr>
                <w:sz w:val="20"/>
                <w:szCs w:val="20"/>
              </w:rPr>
            </w:pPr>
            <w:r w:rsidRPr="00CF7F22">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6BD73F90" w14:textId="77777777" w:rsidR="00C742C9" w:rsidRPr="00CF7F22" w:rsidRDefault="00BC5B1D" w:rsidP="006928A6">
            <w:pPr>
              <w:contextualSpacing/>
              <w:rPr>
                <w:sz w:val="20"/>
                <w:szCs w:val="20"/>
              </w:rPr>
            </w:pPr>
            <w:r w:rsidRPr="00CF7F22">
              <w:rPr>
                <w:sz w:val="20"/>
                <w:szCs w:val="20"/>
              </w:rPr>
              <w:t>5 years</w:t>
            </w:r>
          </w:p>
        </w:tc>
      </w:tr>
      <w:tr w:rsidR="00937FCD" w14:paraId="58365963" w14:textId="77777777" w:rsidTr="00177EA0">
        <w:trPr>
          <w:trHeight w:val="415"/>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2F56F2D6" w14:textId="77777777" w:rsidR="00C742C9" w:rsidRPr="00CF7F22" w:rsidRDefault="00BC5B1D" w:rsidP="00C742C9">
            <w:pPr>
              <w:contextualSpacing/>
              <w:rPr>
                <w:sz w:val="20"/>
                <w:szCs w:val="20"/>
              </w:rPr>
            </w:pPr>
            <w:bookmarkStart w:id="3" w:name="_Hlk92970833"/>
            <w:r w:rsidRPr="00CF7F22">
              <w:rPr>
                <w:sz w:val="20"/>
                <w:szCs w:val="20"/>
              </w:rPr>
              <w:t xml:space="preserve">Corporate Bonds </w:t>
            </w:r>
            <w:r w:rsidRPr="00CF7F22">
              <w:rPr>
                <w:sz w:val="20"/>
                <w:szCs w:val="20"/>
              </w:rPr>
              <w:t>(Long term)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35AECB9E" w14:textId="77777777" w:rsidR="00C742C9" w:rsidRPr="00CF7F22" w:rsidRDefault="00BC5B1D" w:rsidP="00C742C9">
            <w:pPr>
              <w:contextualSpacing/>
              <w:rPr>
                <w:sz w:val="20"/>
                <w:szCs w:val="20"/>
              </w:rPr>
            </w:pPr>
            <w:r w:rsidRPr="00CF7F22">
              <w:rPr>
                <w:sz w:val="20"/>
                <w:szCs w:val="20"/>
              </w:rPr>
              <w:t>AA</w:t>
            </w:r>
          </w:p>
          <w:p w14:paraId="0DC63801" w14:textId="77777777" w:rsidR="00C742C9" w:rsidRPr="00CF7F22" w:rsidRDefault="00BC5B1D" w:rsidP="00C742C9">
            <w:pPr>
              <w:contextualSpacing/>
              <w:rPr>
                <w:sz w:val="20"/>
                <w:szCs w:val="20"/>
              </w:rPr>
            </w:pPr>
            <w:r w:rsidRPr="00CF7F22">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85F3C68" w14:textId="77777777" w:rsidR="00C742C9" w:rsidRPr="00CF7F22" w:rsidRDefault="00BC5B1D" w:rsidP="00C742C9">
            <w:pPr>
              <w:contextualSpacing/>
              <w:jc w:val="center"/>
              <w:rPr>
                <w:sz w:val="20"/>
                <w:szCs w:val="20"/>
              </w:rPr>
            </w:pPr>
            <w:r w:rsidRPr="00CF7F22">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89D248B" w14:textId="77777777" w:rsidR="00C742C9" w:rsidRPr="00CF7F22" w:rsidRDefault="00BC5B1D" w:rsidP="00C742C9">
            <w:pPr>
              <w:contextualSpacing/>
              <w:jc w:val="center"/>
              <w:rPr>
                <w:sz w:val="20"/>
                <w:szCs w:val="20"/>
              </w:rPr>
            </w:pPr>
            <w:r w:rsidRPr="00CF7F22">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4F8FBC44" w14:textId="77777777" w:rsidR="00C742C9" w:rsidRPr="00CF7F22" w:rsidRDefault="00BC5B1D" w:rsidP="00C742C9">
            <w:pPr>
              <w:contextualSpacing/>
              <w:rPr>
                <w:sz w:val="20"/>
                <w:szCs w:val="20"/>
              </w:rPr>
            </w:pPr>
            <w:r w:rsidRPr="00CF7F22">
              <w:rPr>
                <w:sz w:val="20"/>
                <w:szCs w:val="20"/>
              </w:rPr>
              <w:t>No limit</w:t>
            </w:r>
          </w:p>
        </w:tc>
      </w:tr>
      <w:tr w:rsidR="00937FCD" w14:paraId="6EBDF1B0" w14:textId="77777777" w:rsidTr="00177EA0">
        <w:trPr>
          <w:trHeight w:val="415"/>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38101F41" w14:textId="77777777" w:rsidR="00764663" w:rsidRPr="00CF7F22" w:rsidRDefault="00BC5B1D" w:rsidP="00C742C9">
            <w:pPr>
              <w:contextualSpacing/>
              <w:rPr>
                <w:sz w:val="20"/>
                <w:szCs w:val="20"/>
              </w:rPr>
            </w:pPr>
            <w:r>
              <w:rPr>
                <w:sz w:val="20"/>
                <w:szCs w:val="20"/>
              </w:rPr>
              <w:t>Corporate Bonds</w:t>
            </w:r>
            <w:r w:rsidR="006A5940">
              <w:rPr>
                <w:sz w:val="20"/>
                <w:szCs w:val="20"/>
              </w:rPr>
              <w:t xml:space="preserve"> -</w:t>
            </w:r>
            <w:r>
              <w:rPr>
                <w:sz w:val="20"/>
                <w:szCs w:val="20"/>
              </w:rPr>
              <w:t xml:space="preserve"> government owned</w:t>
            </w:r>
            <w:r w:rsidR="00F5170B">
              <w:rPr>
                <w:sz w:val="20"/>
                <w:szCs w:val="20"/>
              </w:rPr>
              <w:t>/backed</w:t>
            </w:r>
            <w:r>
              <w:rPr>
                <w:sz w:val="20"/>
                <w:szCs w:val="20"/>
              </w:rPr>
              <w:t xml:space="preserve"> companies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5D8BD6DB" w14:textId="77777777" w:rsidR="00764663" w:rsidRPr="00CF7F22" w:rsidRDefault="00BC5B1D" w:rsidP="00C742C9">
            <w:pPr>
              <w:contextualSpacing/>
              <w:rPr>
                <w:sz w:val="20"/>
                <w:szCs w:val="20"/>
              </w:rPr>
            </w:pPr>
            <w:r>
              <w:rPr>
                <w:sz w:val="20"/>
                <w:szCs w:val="20"/>
              </w:rPr>
              <w:t>A3</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8BE6C05" w14:textId="77777777" w:rsidR="00764663" w:rsidRPr="00CF7F22" w:rsidRDefault="00BC5B1D" w:rsidP="00C742C9">
            <w:pPr>
              <w:contextualSpacing/>
              <w:jc w:val="center"/>
              <w:rPr>
                <w:sz w:val="20"/>
                <w:szCs w:val="20"/>
              </w:rPr>
            </w:pPr>
            <w:r>
              <w:rPr>
                <w:sz w:val="20"/>
                <w:szCs w:val="20"/>
              </w:rPr>
              <w:t>200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C42DB34" w14:textId="77777777" w:rsidR="00764663" w:rsidRPr="00CF7F22" w:rsidRDefault="00BC5B1D" w:rsidP="00C742C9">
            <w:pPr>
              <w:contextualSpacing/>
              <w:jc w:val="center"/>
              <w:rPr>
                <w:sz w:val="20"/>
                <w:szCs w:val="20"/>
              </w:rPr>
            </w:pPr>
            <w:r>
              <w:rPr>
                <w:sz w:val="20"/>
                <w:szCs w:val="20"/>
              </w:rPr>
              <w:t>400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4BE01622" w14:textId="77777777" w:rsidR="00764663" w:rsidRPr="00CF7F22" w:rsidRDefault="00BC5B1D" w:rsidP="00C742C9">
            <w:pPr>
              <w:contextualSpacing/>
              <w:rPr>
                <w:sz w:val="20"/>
                <w:szCs w:val="20"/>
              </w:rPr>
            </w:pPr>
            <w:r>
              <w:rPr>
                <w:sz w:val="20"/>
                <w:szCs w:val="20"/>
              </w:rPr>
              <w:t>No limit</w:t>
            </w:r>
          </w:p>
        </w:tc>
      </w:tr>
      <w:bookmarkEnd w:id="2"/>
      <w:bookmarkEnd w:id="3"/>
      <w:tr w:rsidR="00937FCD" w14:paraId="4FDCFEDB" w14:textId="77777777"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07EDD6E4" w14:textId="77777777" w:rsidR="00C742C9" w:rsidRPr="00CF7F22" w:rsidRDefault="00BC5B1D" w:rsidP="00C742C9">
            <w:pPr>
              <w:contextualSpacing/>
              <w:rPr>
                <w:sz w:val="20"/>
                <w:szCs w:val="20"/>
              </w:rPr>
            </w:pPr>
            <w:r w:rsidRPr="00CF7F22">
              <w:rPr>
                <w:sz w:val="20"/>
                <w:szCs w:val="20"/>
              </w:rPr>
              <w:t>Government Bond 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A59964F" w14:textId="77777777" w:rsidR="00C742C9" w:rsidRPr="00CF7F22" w:rsidRDefault="00BC5B1D" w:rsidP="00C742C9">
            <w:pPr>
              <w:contextualSpacing/>
              <w:rPr>
                <w:sz w:val="20"/>
                <w:szCs w:val="20"/>
              </w:rPr>
            </w:pPr>
            <w:r w:rsidRPr="00CF7F22">
              <w:rPr>
                <w:sz w:val="20"/>
                <w:szCs w:val="20"/>
              </w:rPr>
              <w:t xml:space="preserve">UK Government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9E8385A" w14:textId="77777777" w:rsidR="00C742C9" w:rsidRPr="00CF7F22" w:rsidRDefault="00BC5B1D" w:rsidP="00C742C9">
            <w:pPr>
              <w:contextualSpacing/>
              <w:jc w:val="center"/>
              <w:rPr>
                <w:sz w:val="20"/>
                <w:szCs w:val="20"/>
              </w:rPr>
            </w:pPr>
            <w:r w:rsidRPr="00CF7F22">
              <w:rPr>
                <w:sz w:val="20"/>
                <w:szCs w:val="20"/>
              </w:rPr>
              <w:t>500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CC6C4DE" w14:textId="77777777" w:rsidR="00C742C9" w:rsidRPr="00CF7F22" w:rsidRDefault="00BC5B1D" w:rsidP="00C742C9">
            <w:pPr>
              <w:contextualSpacing/>
              <w:jc w:val="center"/>
              <w:rPr>
                <w:sz w:val="20"/>
                <w:szCs w:val="20"/>
              </w:rPr>
            </w:pPr>
            <w:r w:rsidRPr="00CF7F22">
              <w:rPr>
                <w:sz w:val="20"/>
                <w:szCs w:val="20"/>
              </w:rPr>
              <w:t>500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407B28E7" w14:textId="77777777" w:rsidR="00C742C9" w:rsidRPr="00CF7F22" w:rsidRDefault="00BC5B1D" w:rsidP="00C742C9">
            <w:pPr>
              <w:contextualSpacing/>
              <w:rPr>
                <w:sz w:val="20"/>
                <w:szCs w:val="20"/>
              </w:rPr>
            </w:pPr>
            <w:r w:rsidRPr="00CF7F22">
              <w:rPr>
                <w:sz w:val="20"/>
                <w:szCs w:val="20"/>
              </w:rPr>
              <w:t>3 years</w:t>
            </w:r>
          </w:p>
        </w:tc>
      </w:tr>
      <w:tr w:rsidR="00937FCD" w14:paraId="3E52F09E" w14:textId="77777777" w:rsidTr="00177EA0">
        <w:trPr>
          <w:trHeight w:val="51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6C2A08B3" w14:textId="77777777" w:rsidR="00C742C9" w:rsidRPr="00CF7F22" w:rsidRDefault="00BC5B1D" w:rsidP="00C742C9">
            <w:pPr>
              <w:contextualSpacing/>
              <w:rPr>
                <w:sz w:val="20"/>
                <w:szCs w:val="20"/>
              </w:rPr>
            </w:pPr>
            <w:r w:rsidRPr="00CF7F22">
              <w:rPr>
                <w:sz w:val="20"/>
                <w:szCs w:val="20"/>
              </w:rPr>
              <w:t>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239C9F82" w14:textId="77777777" w:rsidR="00C742C9" w:rsidRPr="00CF7F22" w:rsidRDefault="00BC5B1D" w:rsidP="00C742C9">
            <w:pPr>
              <w:contextualSpacing/>
              <w:rPr>
                <w:sz w:val="20"/>
                <w:szCs w:val="20"/>
              </w:rPr>
            </w:pPr>
            <w:r w:rsidRPr="00CF7F22">
              <w:rPr>
                <w:sz w:val="20"/>
                <w:szCs w:val="20"/>
              </w:rPr>
              <w:t>Other 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AA00808" w14:textId="77777777" w:rsidR="00C742C9" w:rsidRPr="00CF7F22" w:rsidRDefault="00BC5B1D" w:rsidP="00C742C9">
            <w:pPr>
              <w:contextualSpacing/>
              <w:jc w:val="center"/>
              <w:rPr>
                <w:sz w:val="20"/>
                <w:szCs w:val="20"/>
              </w:rPr>
            </w:pPr>
            <w:r w:rsidRPr="00CF7F22">
              <w:rPr>
                <w:sz w:val="20"/>
                <w:szCs w:val="20"/>
              </w:rPr>
              <w:t>200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860F185" w14:textId="77777777" w:rsidR="00C742C9" w:rsidRPr="00CF7F22" w:rsidRDefault="00BC5B1D" w:rsidP="00C742C9">
            <w:pPr>
              <w:contextualSpacing/>
              <w:jc w:val="center"/>
              <w:rPr>
                <w:sz w:val="20"/>
                <w:szCs w:val="20"/>
              </w:rPr>
            </w:pPr>
            <w:r w:rsidRPr="00CF7F22">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3A1E7A9F" w14:textId="77777777" w:rsidR="00C742C9" w:rsidRPr="00CF7F22" w:rsidRDefault="00BC5B1D" w:rsidP="00C742C9">
            <w:pPr>
              <w:contextualSpacing/>
              <w:rPr>
                <w:sz w:val="20"/>
                <w:szCs w:val="20"/>
              </w:rPr>
            </w:pPr>
            <w:r w:rsidRPr="00CF7F22">
              <w:rPr>
                <w:sz w:val="20"/>
                <w:szCs w:val="20"/>
              </w:rPr>
              <w:t>1 year</w:t>
            </w:r>
          </w:p>
        </w:tc>
      </w:tr>
      <w:tr w:rsidR="00937FCD" w14:paraId="0C66FF66" w14:textId="77777777"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0EE5A27C" w14:textId="77777777" w:rsidR="00C742C9" w:rsidRPr="00CF7F22" w:rsidRDefault="00BC5B1D" w:rsidP="00C742C9">
            <w:pPr>
              <w:contextualSpacing/>
              <w:rPr>
                <w:sz w:val="20"/>
                <w:szCs w:val="20"/>
              </w:rPr>
            </w:pPr>
            <w:r w:rsidRPr="00CF7F22">
              <w:rPr>
                <w:sz w:val="20"/>
                <w:szCs w:val="20"/>
              </w:rPr>
              <w:t>Bond Funds with weighted average maturity maximum 3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A9734A8" w14:textId="77777777" w:rsidR="00C742C9" w:rsidRPr="00CF7F22" w:rsidRDefault="00BC5B1D" w:rsidP="00C742C9">
            <w:pPr>
              <w:contextualSpacing/>
              <w:rPr>
                <w:sz w:val="20"/>
                <w:szCs w:val="20"/>
              </w:rPr>
            </w:pPr>
            <w:r w:rsidRPr="00CF7F22">
              <w:rPr>
                <w:sz w:val="20"/>
                <w:szCs w:val="20"/>
              </w:rPr>
              <w:t>AA Rated weighted average maturity 3yrs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5CBE10E" w14:textId="77777777" w:rsidR="00C742C9" w:rsidRPr="00CF7F22" w:rsidRDefault="00BC5B1D" w:rsidP="00C742C9">
            <w:pPr>
              <w:contextualSpacing/>
              <w:jc w:val="center"/>
              <w:rPr>
                <w:sz w:val="20"/>
                <w:szCs w:val="20"/>
              </w:rPr>
            </w:pPr>
            <w:r w:rsidRPr="00CF7F22">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985AF9F" w14:textId="77777777" w:rsidR="00C742C9" w:rsidRPr="00CF7F22" w:rsidRDefault="00BC5B1D" w:rsidP="00C742C9">
            <w:pPr>
              <w:contextualSpacing/>
              <w:jc w:val="center"/>
              <w:rPr>
                <w:sz w:val="20"/>
                <w:szCs w:val="20"/>
              </w:rPr>
            </w:pPr>
            <w:r w:rsidRPr="00CF7F22">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48AF6949" w14:textId="77777777" w:rsidR="00C742C9" w:rsidRPr="00CF7F22" w:rsidRDefault="00BC5B1D" w:rsidP="00C742C9">
            <w:pPr>
              <w:contextualSpacing/>
              <w:rPr>
                <w:sz w:val="20"/>
                <w:szCs w:val="20"/>
              </w:rPr>
            </w:pPr>
            <w:r w:rsidRPr="00CF7F22">
              <w:rPr>
                <w:sz w:val="20"/>
                <w:szCs w:val="20"/>
              </w:rPr>
              <w:t>These investments do not have a defined maturity date</w:t>
            </w:r>
          </w:p>
        </w:tc>
      </w:tr>
      <w:tr w:rsidR="00937FCD" w14:paraId="127FC949" w14:textId="77777777"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6660926A" w14:textId="77777777" w:rsidR="00C742C9" w:rsidRPr="00CF7F22" w:rsidRDefault="00BC5B1D" w:rsidP="00C742C9">
            <w:pPr>
              <w:contextualSpacing/>
              <w:rPr>
                <w:sz w:val="20"/>
                <w:szCs w:val="20"/>
              </w:rPr>
            </w:pPr>
            <w:r w:rsidRPr="00CF7F22">
              <w:rPr>
                <w:sz w:val="20"/>
                <w:szCs w:val="20"/>
              </w:rPr>
              <w:t>Bond Funds with weighted average maturity maximum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21DDECB6" w14:textId="77777777" w:rsidR="00C742C9" w:rsidRPr="00CF7F22" w:rsidRDefault="00BC5B1D" w:rsidP="00C742C9">
            <w:pPr>
              <w:contextualSpacing/>
              <w:rPr>
                <w:sz w:val="20"/>
                <w:szCs w:val="20"/>
              </w:rPr>
            </w:pPr>
            <w:r w:rsidRPr="00CF7F22">
              <w:rPr>
                <w:sz w:val="20"/>
                <w:szCs w:val="20"/>
              </w:rPr>
              <w:t xml:space="preserve">AAA Rated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9CED3CA" w14:textId="77777777" w:rsidR="00C742C9" w:rsidRPr="00CF7F22" w:rsidRDefault="00BC5B1D" w:rsidP="00C742C9">
            <w:pPr>
              <w:contextualSpacing/>
              <w:jc w:val="center"/>
              <w:rPr>
                <w:sz w:val="20"/>
                <w:szCs w:val="20"/>
              </w:rPr>
            </w:pPr>
            <w:r w:rsidRPr="00CF7F22">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E9FC5C5" w14:textId="77777777" w:rsidR="00C742C9" w:rsidRPr="00CF7F22" w:rsidRDefault="00BC5B1D" w:rsidP="00C742C9">
            <w:pPr>
              <w:contextualSpacing/>
              <w:jc w:val="center"/>
              <w:rPr>
                <w:sz w:val="20"/>
                <w:szCs w:val="20"/>
              </w:rPr>
            </w:pPr>
            <w:r w:rsidRPr="00CF7F22">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02730B29" w14:textId="77777777" w:rsidR="00C742C9" w:rsidRPr="00CF7F22" w:rsidRDefault="00BC5B1D" w:rsidP="00C742C9">
            <w:pPr>
              <w:contextualSpacing/>
              <w:rPr>
                <w:sz w:val="20"/>
                <w:szCs w:val="20"/>
              </w:rPr>
            </w:pPr>
            <w:r w:rsidRPr="00CF7F22">
              <w:rPr>
                <w:sz w:val="20"/>
                <w:szCs w:val="20"/>
              </w:rPr>
              <w:t>These investments do not have a defined maturity date</w:t>
            </w:r>
          </w:p>
        </w:tc>
      </w:tr>
      <w:tr w:rsidR="00937FCD" w14:paraId="014C69C5" w14:textId="77777777"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4B59C180" w14:textId="77777777" w:rsidR="00C742C9" w:rsidRPr="00CF7F22" w:rsidRDefault="00BC5B1D" w:rsidP="00C742C9">
            <w:pPr>
              <w:contextualSpacing/>
              <w:rPr>
                <w:sz w:val="20"/>
                <w:szCs w:val="20"/>
              </w:rPr>
            </w:pPr>
            <w:r w:rsidRPr="00CF7F22">
              <w:rPr>
                <w:sz w:val="20"/>
                <w:szCs w:val="20"/>
              </w:rPr>
              <w:t xml:space="preserve">Collateralised lending agreements backed by higher quality government or local government </w:t>
            </w:r>
            <w:r w:rsidRPr="00CF7F22">
              <w:rPr>
                <w:sz w:val="20"/>
                <w:szCs w:val="20"/>
              </w:rPr>
              <w:lastRenderedPageBreak/>
              <w:t>and supra national sterling securities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D611D06" w14:textId="77777777" w:rsidR="00C742C9" w:rsidRPr="00CF7F22" w:rsidRDefault="00BC5B1D" w:rsidP="00C742C9">
            <w:pPr>
              <w:contextualSpacing/>
              <w:rPr>
                <w:sz w:val="20"/>
                <w:szCs w:val="20"/>
              </w:rPr>
            </w:pPr>
            <w:r w:rsidRPr="00CF7F22">
              <w:rPr>
                <w:sz w:val="20"/>
                <w:szCs w:val="20"/>
              </w:rPr>
              <w:lastRenderedPageBreak/>
              <w:t xml:space="preserve">AA- with cash or AA- </w:t>
            </w:r>
            <w:r w:rsidRPr="00CF7F22">
              <w:rPr>
                <w:sz w:val="20"/>
                <w:szCs w:val="20"/>
              </w:rPr>
              <w:lastRenderedPageBreak/>
              <w:t xml:space="preserve">for any collateral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1A33AA2" w14:textId="77777777" w:rsidR="00C742C9" w:rsidRPr="00CF7F22" w:rsidRDefault="00BC5B1D" w:rsidP="00C742C9">
            <w:pPr>
              <w:contextualSpacing/>
              <w:jc w:val="center"/>
              <w:rPr>
                <w:sz w:val="20"/>
                <w:szCs w:val="20"/>
              </w:rPr>
            </w:pPr>
            <w:r w:rsidRPr="00CF7F22">
              <w:rPr>
                <w:sz w:val="20"/>
                <w:szCs w:val="20"/>
              </w:rPr>
              <w:lastRenderedPageBreak/>
              <w:t>300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E0D2F52" w14:textId="77777777" w:rsidR="00C742C9" w:rsidRPr="00CF7F22" w:rsidRDefault="00BC5B1D" w:rsidP="00C742C9">
            <w:pPr>
              <w:contextualSpacing/>
              <w:jc w:val="center"/>
              <w:rPr>
                <w:sz w:val="20"/>
                <w:szCs w:val="20"/>
              </w:rPr>
            </w:pPr>
            <w:r w:rsidRPr="00CF7F22">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2ADD27CB" w14:textId="77777777" w:rsidR="00C742C9" w:rsidRPr="00CF7F22" w:rsidRDefault="00BC5B1D" w:rsidP="00C742C9">
            <w:pPr>
              <w:contextualSpacing/>
              <w:rPr>
                <w:sz w:val="20"/>
                <w:szCs w:val="20"/>
              </w:rPr>
            </w:pPr>
            <w:r w:rsidRPr="00CF7F22">
              <w:rPr>
                <w:sz w:val="20"/>
                <w:szCs w:val="20"/>
              </w:rPr>
              <w:t>25 years</w:t>
            </w:r>
          </w:p>
        </w:tc>
      </w:tr>
      <w:tr w:rsidR="00937FCD" w14:paraId="2939D811" w14:textId="77777777"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6B8267EE" w14:textId="77777777" w:rsidR="00C742C9" w:rsidRPr="0097530F" w:rsidRDefault="00BC5B1D" w:rsidP="00C742C9">
            <w:pPr>
              <w:contextualSpacing/>
              <w:rPr>
                <w:sz w:val="20"/>
                <w:szCs w:val="20"/>
              </w:rPr>
            </w:pPr>
            <w:r w:rsidRPr="007152B7">
              <w:rPr>
                <w:sz w:val="20"/>
                <w:szCs w:val="20"/>
              </w:rPr>
              <w:t xml:space="preserve">Call accounts and unsecured bank deposits up to 7 days with UK and Overseas Banks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4DA0C9A" w14:textId="77777777" w:rsidR="00C742C9" w:rsidRPr="0097530F" w:rsidRDefault="00BC5B1D" w:rsidP="00C742C9">
            <w:pPr>
              <w:contextualSpacing/>
              <w:rPr>
                <w:sz w:val="20"/>
                <w:szCs w:val="20"/>
              </w:rPr>
            </w:pPr>
            <w:r w:rsidRPr="0097530F">
              <w:rPr>
                <w:sz w:val="20"/>
                <w:szCs w:val="20"/>
              </w:rPr>
              <w:t>P1/A1/F1 Long term A Government support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C22279E" w14:textId="77777777" w:rsidR="00C742C9" w:rsidRPr="0097530F" w:rsidRDefault="00BC5B1D" w:rsidP="00C742C9">
            <w:pPr>
              <w:contextualSpacing/>
              <w:jc w:val="center"/>
              <w:rPr>
                <w:sz w:val="20"/>
                <w:szCs w:val="20"/>
              </w:rPr>
            </w:pPr>
            <w:r w:rsidRPr="0097530F">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556B0AB" w14:textId="77777777" w:rsidR="00C742C9" w:rsidRPr="0097530F" w:rsidRDefault="00BC5B1D" w:rsidP="00C742C9">
            <w:pPr>
              <w:contextualSpacing/>
              <w:jc w:val="center"/>
              <w:rPr>
                <w:sz w:val="20"/>
                <w:szCs w:val="20"/>
              </w:rPr>
            </w:pPr>
            <w:r w:rsidRPr="0097530F">
              <w:rPr>
                <w:sz w:val="20"/>
                <w:szCs w:val="20"/>
              </w:rPr>
              <w:t>2</w:t>
            </w:r>
            <w:r w:rsidR="0097530F" w:rsidRPr="0097530F">
              <w:rPr>
                <w:sz w:val="20"/>
                <w:szCs w:val="20"/>
              </w:rPr>
              <w:t>50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69C4428C" w14:textId="77777777" w:rsidR="00C742C9" w:rsidRPr="0097530F" w:rsidRDefault="00BC5B1D" w:rsidP="00C742C9">
            <w:pPr>
              <w:contextualSpacing/>
              <w:rPr>
                <w:sz w:val="20"/>
                <w:szCs w:val="20"/>
              </w:rPr>
            </w:pPr>
            <w:r w:rsidRPr="0097530F">
              <w:rPr>
                <w:sz w:val="20"/>
                <w:szCs w:val="20"/>
              </w:rPr>
              <w:t>Overnight in line with clearing system guarantee (currently 4 years)</w:t>
            </w:r>
          </w:p>
        </w:tc>
      </w:tr>
      <w:tr w:rsidR="00937FCD" w14:paraId="38D0E4ED" w14:textId="77777777"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2B22CA89" w14:textId="77777777" w:rsidR="00C742C9" w:rsidRPr="0097530F" w:rsidRDefault="00BC5B1D" w:rsidP="00C742C9">
            <w:pPr>
              <w:contextualSpacing/>
              <w:rPr>
                <w:sz w:val="20"/>
                <w:szCs w:val="20"/>
              </w:rPr>
            </w:pPr>
            <w:bookmarkStart w:id="4" w:name="_Hlk92970526"/>
            <w:r w:rsidRPr="0097530F">
              <w:rPr>
                <w:sz w:val="20"/>
                <w:szCs w:val="20"/>
              </w:rPr>
              <w:t>Unsecured deposits/CDs to Banks and Building Societies</w:t>
            </w:r>
            <w:bookmarkEnd w:id="4"/>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70C0B2BF" w14:textId="77777777" w:rsidR="00C742C9" w:rsidRPr="0097530F" w:rsidRDefault="00BC5B1D" w:rsidP="00C742C9">
            <w:pPr>
              <w:contextualSpacing/>
              <w:rPr>
                <w:sz w:val="20"/>
                <w:szCs w:val="20"/>
              </w:rPr>
            </w:pPr>
            <w:r w:rsidRPr="0097530F">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B964672" w14:textId="77777777" w:rsidR="00C742C9" w:rsidRPr="0097530F" w:rsidRDefault="00BC5B1D" w:rsidP="00C742C9">
            <w:pPr>
              <w:contextualSpacing/>
              <w:jc w:val="center"/>
              <w:rPr>
                <w:sz w:val="20"/>
                <w:szCs w:val="20"/>
              </w:rPr>
            </w:pPr>
            <w:r w:rsidRPr="0097530F">
              <w:rPr>
                <w:sz w:val="20"/>
                <w:szCs w:val="20"/>
              </w:rPr>
              <w:t>10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F193D09" w14:textId="77777777" w:rsidR="00C742C9" w:rsidRPr="0097530F" w:rsidRDefault="00BC5B1D" w:rsidP="00C742C9">
            <w:pPr>
              <w:contextualSpacing/>
              <w:jc w:val="center"/>
              <w:rPr>
                <w:sz w:val="20"/>
                <w:szCs w:val="20"/>
              </w:rPr>
            </w:pPr>
            <w:r w:rsidRPr="0097530F">
              <w:rPr>
                <w:sz w:val="20"/>
                <w:szCs w:val="20"/>
              </w:rPr>
              <w:t>50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46474FE5" w14:textId="77777777" w:rsidR="00C742C9" w:rsidRPr="0097530F" w:rsidRDefault="00BC5B1D" w:rsidP="00C742C9">
            <w:pPr>
              <w:contextualSpacing/>
              <w:rPr>
                <w:sz w:val="20"/>
                <w:szCs w:val="20"/>
              </w:rPr>
            </w:pPr>
            <w:r w:rsidRPr="0097530F">
              <w:rPr>
                <w:sz w:val="20"/>
                <w:szCs w:val="20"/>
              </w:rPr>
              <w:t>1 year</w:t>
            </w:r>
          </w:p>
        </w:tc>
      </w:tr>
      <w:tr w:rsidR="00937FCD" w14:paraId="623C4563" w14:textId="77777777" w:rsidTr="00177EA0">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40EB1EAE" w14:textId="77777777" w:rsidR="00C742C9" w:rsidRPr="00CF7F22" w:rsidRDefault="00BC5B1D" w:rsidP="00C742C9">
            <w:pPr>
              <w:contextualSpacing/>
              <w:rPr>
                <w:sz w:val="20"/>
                <w:szCs w:val="20"/>
              </w:rPr>
            </w:pPr>
            <w:r w:rsidRPr="00CF7F22">
              <w:rPr>
                <w:sz w:val="20"/>
                <w:szCs w:val="20"/>
              </w:rPr>
              <w:t>Equity, property, multi asset or credit Pooled Funds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704D719" w14:textId="77777777" w:rsidR="00C742C9" w:rsidRPr="00CF7F22" w:rsidRDefault="00BC5B1D" w:rsidP="00C742C9">
            <w:pPr>
              <w:contextualSpacing/>
              <w:rPr>
                <w:sz w:val="20"/>
                <w:szCs w:val="20"/>
              </w:rPr>
            </w:pPr>
            <w:r w:rsidRPr="00CF7F22">
              <w:rPr>
                <w:sz w:val="20"/>
                <w:szCs w:val="20"/>
              </w:rPr>
              <w:t>Ratings are not produced for such Funds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FBCA46A" w14:textId="77777777" w:rsidR="00C742C9" w:rsidRPr="00CF7F22" w:rsidRDefault="00BC5B1D" w:rsidP="00C742C9">
            <w:pPr>
              <w:contextualSpacing/>
              <w:jc w:val="center"/>
              <w:rPr>
                <w:sz w:val="20"/>
                <w:szCs w:val="20"/>
              </w:rPr>
            </w:pPr>
            <w:r w:rsidRPr="00CF7F22">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2FC312D" w14:textId="77777777" w:rsidR="00C742C9" w:rsidRPr="00CF7F22" w:rsidRDefault="00BC5B1D" w:rsidP="00C742C9">
            <w:pPr>
              <w:contextualSpacing/>
              <w:jc w:val="center"/>
              <w:rPr>
                <w:sz w:val="20"/>
                <w:szCs w:val="20"/>
              </w:rPr>
            </w:pPr>
            <w:r w:rsidRPr="00CF7F22">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4FF76DCE" w14:textId="77777777" w:rsidR="00C742C9" w:rsidRPr="00CF7F22" w:rsidRDefault="00BC5B1D" w:rsidP="00C742C9">
            <w:pPr>
              <w:contextualSpacing/>
              <w:rPr>
                <w:sz w:val="20"/>
                <w:szCs w:val="20"/>
              </w:rPr>
            </w:pPr>
            <w:r w:rsidRPr="00CF7F22">
              <w:rPr>
                <w:sz w:val="20"/>
                <w:szCs w:val="20"/>
              </w:rPr>
              <w:t>These investments do not have a defined maturity date</w:t>
            </w:r>
          </w:p>
        </w:tc>
      </w:tr>
      <w:tr w:rsidR="00937FCD" w14:paraId="37A978CF" w14:textId="77777777" w:rsidTr="00177EA0">
        <w:trPr>
          <w:trHeight w:val="630"/>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3D3EC0BB" w14:textId="77777777" w:rsidR="00C742C9" w:rsidRPr="00CF7F22" w:rsidRDefault="00BC5B1D" w:rsidP="00C742C9">
            <w:pPr>
              <w:contextualSpacing/>
              <w:rPr>
                <w:sz w:val="20"/>
                <w:szCs w:val="20"/>
              </w:rPr>
            </w:pPr>
            <w:r w:rsidRPr="00CF7F22">
              <w:rPr>
                <w:sz w:val="20"/>
                <w:szCs w:val="20"/>
              </w:rPr>
              <w:t xml:space="preserve">Local authority fixed </w:t>
            </w:r>
            <w:r w:rsidRPr="00CF7F22">
              <w:rPr>
                <w:sz w:val="20"/>
                <w:szCs w:val="20"/>
              </w:rPr>
              <w:t>term deposits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2B7490A4" w14:textId="77777777" w:rsidR="00C742C9" w:rsidRPr="00CF7F22" w:rsidRDefault="00BC5B1D" w:rsidP="00C742C9">
            <w:pPr>
              <w:contextualSpacing/>
              <w:rPr>
                <w:sz w:val="20"/>
                <w:szCs w:val="20"/>
              </w:rPr>
            </w:pPr>
            <w:r w:rsidRPr="00CF7F22">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1DD9ABA" w14:textId="77777777" w:rsidR="00C742C9" w:rsidRPr="00CF7F22" w:rsidRDefault="00BC5B1D" w:rsidP="00C742C9">
            <w:pPr>
              <w:contextualSpacing/>
              <w:jc w:val="center"/>
              <w:rPr>
                <w:sz w:val="20"/>
                <w:szCs w:val="20"/>
              </w:rPr>
            </w:pPr>
            <w:r w:rsidRPr="00CF7F22">
              <w:rPr>
                <w:sz w:val="20"/>
                <w:szCs w:val="20"/>
              </w:rPr>
              <w:t>30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D859F6C" w14:textId="77777777" w:rsidR="00C742C9" w:rsidRPr="00CF7F22" w:rsidRDefault="00BC5B1D" w:rsidP="00C742C9">
            <w:pPr>
              <w:contextualSpacing/>
              <w:jc w:val="center"/>
              <w:rPr>
                <w:sz w:val="20"/>
                <w:szCs w:val="20"/>
              </w:rPr>
            </w:pPr>
            <w:r w:rsidRPr="00CF7F22">
              <w:rPr>
                <w:sz w:val="20"/>
                <w:szCs w:val="20"/>
              </w:rPr>
              <w:t>450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2A41C183" w14:textId="77777777" w:rsidR="00C742C9" w:rsidRPr="00CF7F22" w:rsidRDefault="00BC5B1D" w:rsidP="00C742C9">
            <w:pPr>
              <w:contextualSpacing/>
              <w:rPr>
                <w:sz w:val="20"/>
                <w:szCs w:val="20"/>
              </w:rPr>
            </w:pPr>
            <w:r w:rsidRPr="00CF7F22">
              <w:rPr>
                <w:sz w:val="20"/>
                <w:szCs w:val="20"/>
              </w:rPr>
              <w:t>50 years</w:t>
            </w:r>
          </w:p>
        </w:tc>
      </w:tr>
      <w:tr w:rsidR="00937FCD" w14:paraId="5F79DA15" w14:textId="77777777" w:rsidTr="00177EA0">
        <w:trPr>
          <w:trHeight w:val="55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7B8C7C34" w14:textId="77777777" w:rsidR="00C742C9" w:rsidRPr="00CF7F22" w:rsidRDefault="00BC5B1D" w:rsidP="00C742C9">
            <w:pPr>
              <w:contextualSpacing/>
              <w:rPr>
                <w:sz w:val="20"/>
                <w:szCs w:val="20"/>
              </w:rPr>
            </w:pPr>
            <w:r w:rsidRPr="00CF7F22">
              <w:rPr>
                <w:sz w:val="20"/>
                <w:szCs w:val="20"/>
              </w:rPr>
              <w:t>Local authority bonds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5785E361" w14:textId="77777777" w:rsidR="00C742C9" w:rsidRPr="00CF7F22" w:rsidRDefault="00BC5B1D" w:rsidP="00C742C9">
            <w:pPr>
              <w:contextualSpacing/>
              <w:rPr>
                <w:sz w:val="20"/>
                <w:szCs w:val="20"/>
              </w:rPr>
            </w:pPr>
            <w:r w:rsidRPr="00CF7F22">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670F042" w14:textId="77777777" w:rsidR="00C742C9" w:rsidRPr="00CF7F22" w:rsidRDefault="00BC5B1D" w:rsidP="00C742C9">
            <w:pPr>
              <w:contextualSpacing/>
              <w:jc w:val="center"/>
              <w:rPr>
                <w:sz w:val="20"/>
                <w:szCs w:val="20"/>
              </w:rPr>
            </w:pPr>
            <w:r w:rsidRPr="00CF7F22">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5BDDCA7" w14:textId="77777777" w:rsidR="00C742C9" w:rsidRPr="00CF7F22" w:rsidRDefault="00BC5B1D" w:rsidP="00C742C9">
            <w:pPr>
              <w:contextualSpacing/>
              <w:jc w:val="center"/>
              <w:rPr>
                <w:sz w:val="20"/>
                <w:szCs w:val="20"/>
              </w:rPr>
            </w:pPr>
            <w:r w:rsidRPr="00CF7F22">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0FC6FA37" w14:textId="77777777" w:rsidR="00C742C9" w:rsidRPr="00CF7F22" w:rsidRDefault="00BC5B1D" w:rsidP="00C742C9">
            <w:pPr>
              <w:contextualSpacing/>
              <w:rPr>
                <w:sz w:val="20"/>
                <w:szCs w:val="20"/>
              </w:rPr>
            </w:pPr>
            <w:r w:rsidRPr="00CF7F22">
              <w:rPr>
                <w:sz w:val="20"/>
                <w:szCs w:val="20"/>
              </w:rPr>
              <w:t>60 years</w:t>
            </w:r>
          </w:p>
        </w:tc>
      </w:tr>
      <w:tr w:rsidR="00937FCD" w14:paraId="67C9DD51" w14:textId="77777777" w:rsidTr="00177EA0">
        <w:trPr>
          <w:trHeight w:val="55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60B04A1E" w14:textId="77777777" w:rsidR="000A6D8D" w:rsidRPr="00CF7F22" w:rsidRDefault="00BC5B1D" w:rsidP="00C742C9">
            <w:pPr>
              <w:contextualSpacing/>
              <w:rPr>
                <w:sz w:val="20"/>
                <w:szCs w:val="20"/>
              </w:rPr>
            </w:pPr>
            <w:r w:rsidRPr="00CF7F22">
              <w:rPr>
                <w:sz w:val="20"/>
                <w:szCs w:val="20"/>
              </w:rPr>
              <w:t>Local Housing Associations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6184FB7" w14:textId="77777777" w:rsidR="000A6D8D" w:rsidRPr="00CF7F22" w:rsidRDefault="00BC5B1D" w:rsidP="00C742C9">
            <w:pPr>
              <w:contextualSpacing/>
              <w:rPr>
                <w:sz w:val="20"/>
                <w:szCs w:val="20"/>
              </w:rPr>
            </w:pPr>
            <w:r w:rsidRPr="00CF7F22">
              <w:rPr>
                <w:sz w:val="20"/>
                <w:szCs w:val="20"/>
              </w:rPr>
              <w:t xml:space="preserve">1st </w:t>
            </w:r>
            <w:r w:rsidR="006E3845" w:rsidRPr="00CF7F22">
              <w:rPr>
                <w:sz w:val="20"/>
                <w:szCs w:val="20"/>
              </w:rPr>
              <w:t>lien</w:t>
            </w:r>
            <w:r w:rsidRPr="00CF7F22">
              <w:rPr>
                <w:sz w:val="20"/>
                <w:szCs w:val="20"/>
              </w:rPr>
              <w:t xml:space="preserve"> on sufficient collateral</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DB7121F" w14:textId="77777777" w:rsidR="000A6D8D" w:rsidRPr="00CF7F22" w:rsidRDefault="00BC5B1D" w:rsidP="00C742C9">
            <w:pPr>
              <w:contextualSpacing/>
              <w:jc w:val="center"/>
              <w:rPr>
                <w:sz w:val="20"/>
                <w:szCs w:val="20"/>
              </w:rPr>
            </w:pPr>
            <w:r w:rsidRPr="00CF7F22">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33F05A8" w14:textId="77777777" w:rsidR="000A6D8D" w:rsidRPr="00CF7F22" w:rsidRDefault="00BC5B1D" w:rsidP="00C742C9">
            <w:pPr>
              <w:contextualSpacing/>
              <w:jc w:val="center"/>
              <w:rPr>
                <w:sz w:val="20"/>
                <w:szCs w:val="20"/>
              </w:rPr>
            </w:pPr>
            <w:r w:rsidRPr="00CF7F22">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23C8C211" w14:textId="77777777" w:rsidR="000A6D8D" w:rsidRPr="00CF7F22" w:rsidRDefault="00BC5B1D" w:rsidP="00C742C9">
            <w:pPr>
              <w:contextualSpacing/>
              <w:rPr>
                <w:sz w:val="20"/>
                <w:szCs w:val="20"/>
              </w:rPr>
            </w:pPr>
            <w:r w:rsidRPr="00CF7F22">
              <w:rPr>
                <w:sz w:val="20"/>
                <w:szCs w:val="20"/>
              </w:rPr>
              <w:t>50 years</w:t>
            </w:r>
          </w:p>
        </w:tc>
      </w:tr>
    </w:tbl>
    <w:p w14:paraId="463C66C9" w14:textId="77777777" w:rsidR="006D1274" w:rsidRDefault="006D1274" w:rsidP="006D1274">
      <w:pPr>
        <w:jc w:val="both"/>
        <w:rPr>
          <w:highlight w:val="green"/>
        </w:rPr>
      </w:pPr>
    </w:p>
    <w:p w14:paraId="163FF840" w14:textId="77777777" w:rsidR="000150A9" w:rsidRPr="006A5940" w:rsidRDefault="00BC5B1D" w:rsidP="006D1274">
      <w:pPr>
        <w:jc w:val="both"/>
      </w:pPr>
      <w:r w:rsidRPr="006A5940">
        <w:t xml:space="preserve">Note: if the credit rating of assets already held fall below the relevant limit action to address this will be taken at </w:t>
      </w:r>
      <w:r w:rsidR="006A5940">
        <w:t>an</w:t>
      </w:r>
      <w:r w:rsidRPr="006A5940">
        <w:t xml:space="preserve"> appropriate time</w:t>
      </w:r>
      <w:r w:rsidR="006A5940">
        <w:t xml:space="preserve"> considering the financial impact of any decision to disinvest.</w:t>
      </w:r>
      <w:r w:rsidRPr="006A5940">
        <w:t xml:space="preserve"> </w:t>
      </w:r>
    </w:p>
    <w:p w14:paraId="2F2370D0" w14:textId="77777777" w:rsidR="000150A9" w:rsidRDefault="000150A9" w:rsidP="006D1274">
      <w:pPr>
        <w:jc w:val="both"/>
        <w:rPr>
          <w:highlight w:val="green"/>
        </w:rPr>
      </w:pPr>
    </w:p>
    <w:p w14:paraId="7DABB2ED" w14:textId="77777777" w:rsidR="00850CF7" w:rsidRDefault="00BC5B1D" w:rsidP="006D1274">
      <w:pPr>
        <w:jc w:val="both"/>
      </w:pPr>
      <w:r w:rsidRPr="00CF7F22">
        <w:t>Local Housing Associations have been added to the l</w:t>
      </w:r>
      <w:r w:rsidRPr="00CF7F22">
        <w:t>ist of approved counterparties. This allows LCC to invest in unsecured loans and bonds issued by or guaranteed by registered providers of social housing or registered social landlords, formerly known as housing associations. These bodies are regulated by t</w:t>
      </w:r>
      <w:r w:rsidRPr="00CF7F22">
        <w:t>he Regulator of Social Housing (in England), the Scottish Housing Regulator, the Welsh Government and the Department for Communities (in Northern Ireland). As providers of public services, they retain the likelihood of receiving government support if neede</w:t>
      </w:r>
      <w:r w:rsidRPr="00CF7F22">
        <w:t xml:space="preserve">d. The policy does limit these investment activities to instruments having 1st </w:t>
      </w:r>
      <w:r w:rsidR="006E3845" w:rsidRPr="00CF7F22">
        <w:t>lien</w:t>
      </w:r>
      <w:r w:rsidRPr="00CF7F22">
        <w:t xml:space="preserve"> on the housing associations assets. A lien is the legal right of a creditor to seize property from a borrower that has failed to repay the creditor. The creditor may exerci</w:t>
      </w:r>
      <w:r w:rsidRPr="00CF7F22">
        <w:t>se the lien by selling the property if the loan is not paid back</w:t>
      </w:r>
      <w:r>
        <w:t>.</w:t>
      </w:r>
    </w:p>
    <w:p w14:paraId="3EFC265C" w14:textId="77777777" w:rsidR="000150A9" w:rsidRDefault="000150A9" w:rsidP="006D1274">
      <w:pPr>
        <w:jc w:val="both"/>
      </w:pPr>
    </w:p>
    <w:p w14:paraId="6A585F6D" w14:textId="77777777" w:rsidR="000150A9" w:rsidRDefault="00BC5B1D" w:rsidP="006D1274">
      <w:pPr>
        <w:jc w:val="both"/>
      </w:pPr>
      <w:r>
        <w:t>A new category of bonds in companies which are owned by governments has been included in the approved counterparties. This will include holdings in EDF bonds which were acquired under previously approved non-treasury investments strategy. However, with cha</w:t>
      </w:r>
      <w:r>
        <w:t xml:space="preserve">nges to CIPFA codes it is now considered more appropriate that these, or any similar bonds are held as part of the treasury management strategy.  </w:t>
      </w:r>
    </w:p>
    <w:p w14:paraId="5B51C7CA" w14:textId="77777777" w:rsidR="00CF7F22" w:rsidRDefault="00CF7F22" w:rsidP="006D1274">
      <w:pPr>
        <w:jc w:val="both"/>
      </w:pPr>
    </w:p>
    <w:p w14:paraId="6B6A7F80" w14:textId="77777777" w:rsidR="00850CF7" w:rsidRDefault="00BC5B1D" w:rsidP="007152B7">
      <w:pPr>
        <w:jc w:val="both"/>
        <w:rPr>
          <w:highlight w:val="green"/>
        </w:rPr>
      </w:pPr>
      <w:r>
        <w:t>UK bank bail-in legislation provides that should a bank fail the authorities can impose losses on the bank's</w:t>
      </w:r>
      <w:r>
        <w:t xml:space="preserve"> creditors which includes local authority deposits.</w:t>
      </w:r>
      <w:r w:rsidR="006A6B4D">
        <w:t xml:space="preserve"> Although the </w:t>
      </w:r>
      <w:r w:rsidR="00770EED">
        <w:t>T</w:t>
      </w:r>
      <w:r w:rsidR="006A5940">
        <w:t xml:space="preserve">reasury </w:t>
      </w:r>
      <w:r w:rsidR="00770EED">
        <w:t>M</w:t>
      </w:r>
      <w:r w:rsidR="006A5940">
        <w:t>anagement</w:t>
      </w:r>
      <w:r w:rsidR="006A6B4D">
        <w:t xml:space="preserve"> policy </w:t>
      </w:r>
      <w:r>
        <w:t>does allow unsecured bank deposits for up to one year, to reduce risk exposure to bank credit and 'bail-in legislation', deposits are used as call accounts and usua</w:t>
      </w:r>
      <w:r>
        <w:t>lly placed as overnight deals. However occasionally they may have to be placed for a few days at a time, therefore for clarification unsecured bank deposits up to one week have been included alongside call accounts in the T</w:t>
      </w:r>
      <w:r w:rsidR="007A63A0">
        <w:t xml:space="preserve">reasury </w:t>
      </w:r>
      <w:r>
        <w:lastRenderedPageBreak/>
        <w:t>M</w:t>
      </w:r>
      <w:r w:rsidR="007A63A0">
        <w:t>anagement</w:t>
      </w:r>
      <w:r>
        <w:t xml:space="preserve"> policy matrix </w:t>
      </w:r>
      <w:r>
        <w:t>above. The only other unsecured deposits used relate to the operational bank accounts which are used for day to day and overnight business and, by virtue of being operational rather than investment accounts, fall outside T</w:t>
      </w:r>
      <w:r w:rsidR="007A63A0">
        <w:t xml:space="preserve">reasury </w:t>
      </w:r>
      <w:r>
        <w:t>M</w:t>
      </w:r>
      <w:r w:rsidR="007A63A0">
        <w:t>anagement</w:t>
      </w:r>
      <w:r>
        <w:t xml:space="preserve"> investment limi</w:t>
      </w:r>
      <w:r>
        <w:t>ts.</w:t>
      </w:r>
    </w:p>
    <w:p w14:paraId="6FAA39A6" w14:textId="77777777" w:rsidR="000A6D8D" w:rsidRPr="00044115" w:rsidRDefault="000A6D8D" w:rsidP="006D1274">
      <w:pPr>
        <w:jc w:val="both"/>
        <w:rPr>
          <w:highlight w:val="green"/>
        </w:rPr>
      </w:pPr>
    </w:p>
    <w:p w14:paraId="707281B9" w14:textId="77777777" w:rsidR="00C742C9" w:rsidRPr="00CF7F22" w:rsidRDefault="00BC5B1D" w:rsidP="00C742C9">
      <w:pPr>
        <w:spacing w:after="240"/>
        <w:jc w:val="both"/>
      </w:pPr>
      <w:r w:rsidRPr="00CF7F22">
        <w:t>Regarding investments with other local authorities, Arlingclose state that they are comfortable with clients making loans to UK local authorities for periods up to two years, subject to this meeting the approved strategy. For periods longer than two y</w:t>
      </w:r>
      <w:r w:rsidRPr="00CF7F22">
        <w:t xml:space="preserve">ears they recommend that additional due diligence is undertaken prior to a loan being made. On this basis it is proposed that the nominal value of investments to local authorities are limited as follows:                                         </w:t>
      </w:r>
    </w:p>
    <w:tbl>
      <w:tblPr>
        <w:tblStyle w:val="TableGrid"/>
        <w:tblW w:w="0" w:type="auto"/>
        <w:tblLook w:val="04A0" w:firstRow="1" w:lastRow="0" w:firstColumn="1" w:lastColumn="0" w:noHBand="0" w:noVBand="1"/>
      </w:tblPr>
      <w:tblGrid>
        <w:gridCol w:w="2253"/>
        <w:gridCol w:w="2420"/>
        <w:gridCol w:w="2410"/>
        <w:gridCol w:w="1933"/>
      </w:tblGrid>
      <w:tr w:rsidR="00937FCD" w14:paraId="0C566886" w14:textId="77777777" w:rsidTr="00C742C9">
        <w:trPr>
          <w:trHeight w:val="496"/>
        </w:trPr>
        <w:tc>
          <w:tcPr>
            <w:tcW w:w="2253" w:type="dxa"/>
          </w:tcPr>
          <w:p w14:paraId="73E7901D" w14:textId="77777777" w:rsidR="00C742C9" w:rsidRPr="00CF7F22" w:rsidRDefault="00C742C9" w:rsidP="00C742C9">
            <w:pPr>
              <w:rPr>
                <w:sz w:val="22"/>
                <w:szCs w:val="22"/>
              </w:rPr>
            </w:pPr>
          </w:p>
        </w:tc>
        <w:tc>
          <w:tcPr>
            <w:tcW w:w="2420" w:type="dxa"/>
          </w:tcPr>
          <w:p w14:paraId="159096C2" w14:textId="77777777" w:rsidR="00C742C9" w:rsidRPr="00CF7F22" w:rsidRDefault="00BC5B1D" w:rsidP="00C742C9">
            <w:pPr>
              <w:jc w:val="center"/>
              <w:rPr>
                <w:sz w:val="22"/>
                <w:szCs w:val="22"/>
              </w:rPr>
            </w:pPr>
            <w:r w:rsidRPr="00CF7F22">
              <w:rPr>
                <w:sz w:val="22"/>
                <w:szCs w:val="22"/>
              </w:rPr>
              <w:t>Maximum in</w:t>
            </w:r>
            <w:r w:rsidRPr="00CF7F22">
              <w:rPr>
                <w:sz w:val="22"/>
                <w:szCs w:val="22"/>
              </w:rPr>
              <w:t>dividual investment</w:t>
            </w:r>
          </w:p>
        </w:tc>
        <w:tc>
          <w:tcPr>
            <w:tcW w:w="2410" w:type="dxa"/>
          </w:tcPr>
          <w:p w14:paraId="66F44B71" w14:textId="77777777" w:rsidR="00C742C9" w:rsidRPr="00CF7F22" w:rsidRDefault="00BC5B1D" w:rsidP="00C742C9">
            <w:pPr>
              <w:jc w:val="center"/>
              <w:rPr>
                <w:sz w:val="22"/>
                <w:szCs w:val="22"/>
              </w:rPr>
            </w:pPr>
            <w:r w:rsidRPr="00CF7F22">
              <w:rPr>
                <w:sz w:val="22"/>
                <w:szCs w:val="22"/>
              </w:rPr>
              <w:t xml:space="preserve">Maximum total investment </w:t>
            </w:r>
          </w:p>
        </w:tc>
        <w:tc>
          <w:tcPr>
            <w:tcW w:w="1933" w:type="dxa"/>
          </w:tcPr>
          <w:p w14:paraId="44FF2C61" w14:textId="77777777" w:rsidR="00C742C9" w:rsidRPr="00CF7F22" w:rsidRDefault="00BC5B1D" w:rsidP="00C742C9">
            <w:pPr>
              <w:jc w:val="center"/>
              <w:rPr>
                <w:sz w:val="22"/>
                <w:szCs w:val="22"/>
              </w:rPr>
            </w:pPr>
            <w:r w:rsidRPr="00CF7F22">
              <w:rPr>
                <w:sz w:val="22"/>
                <w:szCs w:val="22"/>
              </w:rPr>
              <w:t>Maximum period</w:t>
            </w:r>
          </w:p>
        </w:tc>
      </w:tr>
      <w:tr w:rsidR="00937FCD" w14:paraId="0D1198CF" w14:textId="77777777" w:rsidTr="00C742C9">
        <w:tc>
          <w:tcPr>
            <w:tcW w:w="2253" w:type="dxa"/>
          </w:tcPr>
          <w:p w14:paraId="69F483A4" w14:textId="77777777" w:rsidR="00C742C9" w:rsidRPr="00CF7F22" w:rsidRDefault="00BC5B1D" w:rsidP="00C742C9">
            <w:r w:rsidRPr="00CF7F22">
              <w:t>Up to 2 years</w:t>
            </w:r>
          </w:p>
        </w:tc>
        <w:tc>
          <w:tcPr>
            <w:tcW w:w="2420" w:type="dxa"/>
          </w:tcPr>
          <w:p w14:paraId="646B15CC" w14:textId="77777777" w:rsidR="00C742C9" w:rsidRPr="00CF7F22" w:rsidRDefault="00BC5B1D" w:rsidP="00C742C9">
            <w:pPr>
              <w:jc w:val="right"/>
            </w:pPr>
            <w:r w:rsidRPr="00CF7F22">
              <w:t>£30m</w:t>
            </w:r>
          </w:p>
        </w:tc>
        <w:tc>
          <w:tcPr>
            <w:tcW w:w="2410" w:type="dxa"/>
          </w:tcPr>
          <w:p w14:paraId="7B303089" w14:textId="77777777" w:rsidR="00C742C9" w:rsidRPr="00CF7F22" w:rsidRDefault="00BC5B1D" w:rsidP="00C742C9">
            <w:pPr>
              <w:jc w:val="right"/>
            </w:pPr>
            <w:r w:rsidRPr="00CF7F22">
              <w:t>£450m</w:t>
            </w:r>
          </w:p>
        </w:tc>
        <w:tc>
          <w:tcPr>
            <w:tcW w:w="1933" w:type="dxa"/>
          </w:tcPr>
          <w:p w14:paraId="02C2FA86" w14:textId="77777777" w:rsidR="00C742C9" w:rsidRPr="00CF7F22" w:rsidRDefault="00BC5B1D" w:rsidP="00C742C9">
            <w:pPr>
              <w:jc w:val="right"/>
            </w:pPr>
            <w:r w:rsidRPr="00CF7F22">
              <w:t>2 years</w:t>
            </w:r>
          </w:p>
        </w:tc>
      </w:tr>
      <w:tr w:rsidR="00937FCD" w14:paraId="13296805" w14:textId="77777777" w:rsidTr="00C742C9">
        <w:tc>
          <w:tcPr>
            <w:tcW w:w="2253" w:type="dxa"/>
          </w:tcPr>
          <w:p w14:paraId="77200488" w14:textId="77777777" w:rsidR="00C742C9" w:rsidRPr="00CF7F22" w:rsidRDefault="00BC5B1D" w:rsidP="00C742C9">
            <w:r w:rsidRPr="00CF7F22">
              <w:t>Over 2-10</w:t>
            </w:r>
            <w:r w:rsidR="00DB75B2" w:rsidRPr="00CF7F22">
              <w:t xml:space="preserve"> </w:t>
            </w:r>
            <w:r w:rsidRPr="00CF7F22">
              <w:t>years</w:t>
            </w:r>
          </w:p>
        </w:tc>
        <w:tc>
          <w:tcPr>
            <w:tcW w:w="2420" w:type="dxa"/>
          </w:tcPr>
          <w:p w14:paraId="225AC33E" w14:textId="77777777" w:rsidR="00C742C9" w:rsidRPr="00CF7F22" w:rsidRDefault="00BC5B1D" w:rsidP="00C742C9">
            <w:pPr>
              <w:jc w:val="right"/>
            </w:pPr>
            <w:r w:rsidRPr="00CF7F22">
              <w:t>£25m</w:t>
            </w:r>
          </w:p>
        </w:tc>
        <w:tc>
          <w:tcPr>
            <w:tcW w:w="2410" w:type="dxa"/>
          </w:tcPr>
          <w:p w14:paraId="0F00F72B" w14:textId="77777777" w:rsidR="00C742C9" w:rsidRPr="00CF7F22" w:rsidRDefault="00BC5B1D" w:rsidP="00C742C9">
            <w:pPr>
              <w:jc w:val="right"/>
            </w:pPr>
            <w:r w:rsidRPr="00CF7F22">
              <w:t>£300m</w:t>
            </w:r>
          </w:p>
        </w:tc>
        <w:tc>
          <w:tcPr>
            <w:tcW w:w="1933" w:type="dxa"/>
          </w:tcPr>
          <w:p w14:paraId="3316F7B3" w14:textId="77777777" w:rsidR="00C742C9" w:rsidRPr="00CF7F22" w:rsidRDefault="00BC5B1D" w:rsidP="00C742C9">
            <w:pPr>
              <w:jc w:val="right"/>
            </w:pPr>
            <w:r w:rsidRPr="00CF7F22">
              <w:t>10 years</w:t>
            </w:r>
          </w:p>
        </w:tc>
      </w:tr>
      <w:tr w:rsidR="00937FCD" w14:paraId="0AA8AB58" w14:textId="77777777" w:rsidTr="00C742C9">
        <w:tc>
          <w:tcPr>
            <w:tcW w:w="2253" w:type="dxa"/>
          </w:tcPr>
          <w:p w14:paraId="36884110" w14:textId="77777777" w:rsidR="00C742C9" w:rsidRPr="00CF7F22" w:rsidRDefault="00BC5B1D" w:rsidP="00C742C9">
            <w:r w:rsidRPr="00CF7F22">
              <w:t>Over 10 years</w:t>
            </w:r>
          </w:p>
        </w:tc>
        <w:tc>
          <w:tcPr>
            <w:tcW w:w="2420" w:type="dxa"/>
          </w:tcPr>
          <w:p w14:paraId="2434D3F6" w14:textId="77777777" w:rsidR="00C742C9" w:rsidRPr="00CF7F22" w:rsidRDefault="00BC5B1D" w:rsidP="00C742C9">
            <w:pPr>
              <w:jc w:val="right"/>
            </w:pPr>
            <w:r w:rsidRPr="00CF7F22">
              <w:t>£25m</w:t>
            </w:r>
          </w:p>
        </w:tc>
        <w:tc>
          <w:tcPr>
            <w:tcW w:w="2410" w:type="dxa"/>
          </w:tcPr>
          <w:p w14:paraId="19B45358" w14:textId="77777777" w:rsidR="00C742C9" w:rsidRPr="00CF7F22" w:rsidRDefault="00BC5B1D" w:rsidP="00C742C9">
            <w:pPr>
              <w:jc w:val="right"/>
            </w:pPr>
            <w:r w:rsidRPr="00CF7F22">
              <w:t>£100m</w:t>
            </w:r>
          </w:p>
        </w:tc>
        <w:tc>
          <w:tcPr>
            <w:tcW w:w="1933" w:type="dxa"/>
          </w:tcPr>
          <w:p w14:paraId="35EE1BAE" w14:textId="77777777" w:rsidR="00C742C9" w:rsidRPr="00CF7F22" w:rsidRDefault="00BC5B1D" w:rsidP="00C742C9">
            <w:pPr>
              <w:jc w:val="right"/>
            </w:pPr>
            <w:r w:rsidRPr="00CF7F22">
              <w:t>50 years</w:t>
            </w:r>
          </w:p>
        </w:tc>
      </w:tr>
    </w:tbl>
    <w:p w14:paraId="03C20D3D" w14:textId="77777777" w:rsidR="00C742C9" w:rsidRPr="00CF7F22" w:rsidRDefault="00C742C9" w:rsidP="00C742C9">
      <w:pPr>
        <w:jc w:val="both"/>
      </w:pPr>
    </w:p>
    <w:p w14:paraId="46828E77" w14:textId="77777777" w:rsidR="00C742C9" w:rsidRPr="00CF7F22" w:rsidRDefault="00BC5B1D" w:rsidP="00C742C9">
      <w:pPr>
        <w:jc w:val="both"/>
      </w:pPr>
      <w:r w:rsidRPr="00CF7F22">
        <w:t>In addition to fixed term deposits</w:t>
      </w:r>
      <w:r w:rsidR="006737C1">
        <w:t>,</w:t>
      </w:r>
      <w:r w:rsidRPr="00CF7F22">
        <w:t xml:space="preserve"> occasionally local authorities issue bonds.</w:t>
      </w:r>
      <w:r w:rsidR="00C302E5" w:rsidRPr="00CF7F22">
        <w:t xml:space="preserve"> </w:t>
      </w:r>
      <w:r w:rsidRPr="00CF7F22">
        <w:t>The investment policy allows the county council to purchase such bonds as an investment which are generally held to maturity. The holding of the bonds is considered to be outside the limits expressed above but f</w:t>
      </w:r>
      <w:r w:rsidRPr="00CF7F22">
        <w:t xml:space="preserve">or the purpose of risk management the total of the bonds plus fixed term deposits with any one authority should not exceed £50m. </w:t>
      </w:r>
    </w:p>
    <w:p w14:paraId="19A032A4" w14:textId="77777777" w:rsidR="00C742C9" w:rsidRPr="00044115" w:rsidRDefault="00C742C9" w:rsidP="00C742C9">
      <w:pPr>
        <w:jc w:val="both"/>
        <w:rPr>
          <w:highlight w:val="green"/>
        </w:rPr>
      </w:pPr>
    </w:p>
    <w:p w14:paraId="31C37507" w14:textId="77777777" w:rsidR="00C742C9" w:rsidRPr="00CF7F22" w:rsidRDefault="00BC5B1D" w:rsidP="00C742C9">
      <w:pPr>
        <w:jc w:val="both"/>
      </w:pPr>
      <w:r w:rsidRPr="00CF7F22">
        <w:t>The council's day to day transactional bank, National Westminster, lies outside the investment credit matrix but overnight de</w:t>
      </w:r>
      <w:r w:rsidRPr="00CF7F22">
        <w:t>posits may be placed with them. In practice the balances are considered on a daily basis. If there was a failure of National Westminster it is anticipated that they would be subject to bank bail-in rather than made insolvent. This increases the chance of t</w:t>
      </w:r>
      <w:r w:rsidRPr="00CF7F22">
        <w:t xml:space="preserve">he council maintaining operational continuity but any monies in the bank would be at risk of at least a partial loss.  </w:t>
      </w:r>
    </w:p>
    <w:p w14:paraId="326D50E8" w14:textId="77777777" w:rsidR="00C742C9" w:rsidRPr="00044115" w:rsidRDefault="00C742C9" w:rsidP="00C742C9">
      <w:pPr>
        <w:jc w:val="both"/>
        <w:rPr>
          <w:highlight w:val="green"/>
        </w:rPr>
      </w:pPr>
    </w:p>
    <w:p w14:paraId="26C59313" w14:textId="77777777" w:rsidR="00C742C9" w:rsidRPr="0050205A" w:rsidRDefault="00BC5B1D" w:rsidP="00C742C9">
      <w:pPr>
        <w:spacing w:after="200" w:line="276" w:lineRule="auto"/>
        <w:rPr>
          <w:b/>
          <w:i/>
        </w:rPr>
      </w:pPr>
      <w:r w:rsidRPr="0050205A">
        <w:rPr>
          <w:b/>
          <w:i/>
        </w:rPr>
        <w:t>Long term investments</w:t>
      </w:r>
    </w:p>
    <w:p w14:paraId="04A7FBA0" w14:textId="77777777" w:rsidR="00C742C9" w:rsidRPr="0050205A" w:rsidRDefault="00BC5B1D" w:rsidP="00C742C9">
      <w:pPr>
        <w:jc w:val="both"/>
      </w:pPr>
      <w:r w:rsidRPr="0050205A">
        <w:t xml:space="preserve">The </w:t>
      </w:r>
      <w:r w:rsidR="00C302E5" w:rsidRPr="0050205A">
        <w:t xml:space="preserve">treasury management </w:t>
      </w:r>
      <w:r w:rsidRPr="0050205A">
        <w:t>code requires where an authority invests, or plans to invest, for periods longer than one year then an upper limit for investments maturing in excess of one year is set. The authority does have fixed term deposits which are for longer than a year and the b</w:t>
      </w:r>
      <w:r w:rsidRPr="0050205A">
        <w:t xml:space="preserve">onds usually purchased have a maturity date which is in excess of one year and these could be held to maturity. </w:t>
      </w:r>
    </w:p>
    <w:p w14:paraId="3B6CD3AF" w14:textId="77777777" w:rsidR="007F2E26" w:rsidRPr="0050205A" w:rsidRDefault="007F2E26" w:rsidP="00C742C9">
      <w:pPr>
        <w:jc w:val="both"/>
      </w:pPr>
    </w:p>
    <w:p w14:paraId="5901C101" w14:textId="77777777" w:rsidR="00C742C9" w:rsidRPr="0050205A" w:rsidRDefault="00BC5B1D" w:rsidP="00C742C9">
      <w:pPr>
        <w:jc w:val="both"/>
      </w:pPr>
      <w:r w:rsidRPr="0050205A">
        <w:t>However, the investments are held in government and supranational securities, which are highly liquid.  In addition</w:t>
      </w:r>
      <w:r w:rsidR="006E3845">
        <w:t>,</w:t>
      </w:r>
      <w:r w:rsidRPr="0050205A">
        <w:t xml:space="preserve"> the council holds a secon</w:t>
      </w:r>
      <w:r w:rsidRPr="0050205A">
        <w:t xml:space="preserve">dary liquidity investment book of very high quality covered floating rate notes which are typically issued for a </w:t>
      </w:r>
      <w:r w:rsidR="00C302E5" w:rsidRPr="0050205A">
        <w:t>three</w:t>
      </w:r>
      <w:r w:rsidRPr="0050205A">
        <w:t xml:space="preserve"> to </w:t>
      </w:r>
      <w:r w:rsidR="00C302E5" w:rsidRPr="0050205A">
        <w:t>seven</w:t>
      </w:r>
      <w:r w:rsidR="006E3845">
        <w:t>-</w:t>
      </w:r>
      <w:r w:rsidRPr="0050205A">
        <w:t xml:space="preserve">year term. Because these instruments have their rates re-fixed, at current market rates every </w:t>
      </w:r>
      <w:r w:rsidR="00C302E5" w:rsidRPr="0050205A">
        <w:t>three</w:t>
      </w:r>
      <w:r w:rsidRPr="0050205A">
        <w:t xml:space="preserve"> months, their price shows a very low sensitivity to changes in market rates, so that although they are classified as long</w:t>
      </w:r>
      <w:r w:rsidR="006E3845">
        <w:t>-</w:t>
      </w:r>
      <w:r w:rsidRPr="0050205A">
        <w:t xml:space="preserve">term instruments, in practice they operate as fixed instruments with a maximum of </w:t>
      </w:r>
      <w:r w:rsidR="00C302E5" w:rsidRPr="0050205A">
        <w:t>three</w:t>
      </w:r>
      <w:r w:rsidRPr="0050205A">
        <w:t xml:space="preserve"> months to maturity and can be liquidated with</w:t>
      </w:r>
      <w:r w:rsidRPr="0050205A">
        <w:t xml:space="preserve"> one or two</w:t>
      </w:r>
      <w:r w:rsidR="006E3845">
        <w:t>-</w:t>
      </w:r>
      <w:r w:rsidRPr="0050205A">
        <w:t>days' notice. Therefore the 'long term investments' total contains instruments which operate with a short</w:t>
      </w:r>
      <w:r w:rsidR="006E3845">
        <w:t>-</w:t>
      </w:r>
      <w:r w:rsidRPr="0050205A">
        <w:t>term horizon and which are central to achieving the council's security and liquidity objectives.</w:t>
      </w:r>
    </w:p>
    <w:p w14:paraId="33563ACD" w14:textId="77777777" w:rsidR="00C742C9" w:rsidRPr="0050205A" w:rsidRDefault="00C742C9" w:rsidP="00C742C9">
      <w:pPr>
        <w:jc w:val="both"/>
      </w:pPr>
    </w:p>
    <w:p w14:paraId="0E1A927B" w14:textId="77777777" w:rsidR="00C742C9" w:rsidRPr="0050205A" w:rsidRDefault="00BC5B1D" w:rsidP="00C742C9">
      <w:pPr>
        <w:jc w:val="both"/>
      </w:pPr>
      <w:r w:rsidRPr="0050205A">
        <w:lastRenderedPageBreak/>
        <w:t xml:space="preserve">As a result of the nature of the assets </w:t>
      </w:r>
      <w:r w:rsidRPr="0050205A">
        <w:t>held it is considered appropriate to have a high limit which is related to the forecast of reserves and balances held (currently forecast to be £</w:t>
      </w:r>
      <w:r w:rsidR="0050205A">
        <w:t>740</w:t>
      </w:r>
      <w:r w:rsidRPr="0050205A">
        <w:t>m at 31 March 202</w:t>
      </w:r>
      <w:r w:rsidR="007F2E26" w:rsidRPr="0050205A">
        <w:t>2</w:t>
      </w:r>
      <w:r w:rsidRPr="0050205A">
        <w:t>, However, it is anticipated that during the year cash-flow will be positive requiring a h</w:t>
      </w:r>
      <w:r w:rsidRPr="0050205A">
        <w:t xml:space="preserve">igher level of investments to be held. In particular, if a </w:t>
      </w:r>
      <w:r w:rsidR="007F2E26" w:rsidRPr="0050205A">
        <w:t xml:space="preserve">borrowing is taken before the </w:t>
      </w:r>
      <w:r w:rsidRPr="0050205A">
        <w:t>debt it is replacing matures or the capital expenditure incurred</w:t>
      </w:r>
      <w:r w:rsidR="006E3845">
        <w:t>,</w:t>
      </w:r>
      <w:r w:rsidRPr="0050205A">
        <w:t xml:space="preserve"> and this cash will be invested. Therefore</w:t>
      </w:r>
      <w:r w:rsidR="006E3845">
        <w:t>,</w:t>
      </w:r>
      <w:r w:rsidRPr="0050205A">
        <w:t xml:space="preserve"> the proposed limit for 202</w:t>
      </w:r>
      <w:r w:rsidR="0050205A">
        <w:t>2</w:t>
      </w:r>
      <w:r w:rsidRPr="0050205A">
        <w:t>/2</w:t>
      </w:r>
      <w:r w:rsidR="0050205A">
        <w:t>3</w:t>
      </w:r>
      <w:r w:rsidRPr="0050205A">
        <w:t xml:space="preserve"> is £</w:t>
      </w:r>
      <w:r w:rsidR="0050205A">
        <w:t>1,0</w:t>
      </w:r>
      <w:r w:rsidR="007F2E26" w:rsidRPr="0050205A">
        <w:t>0</w:t>
      </w:r>
      <w:r w:rsidRPr="0050205A">
        <w:t xml:space="preserve">0m. </w:t>
      </w:r>
    </w:p>
    <w:p w14:paraId="2C724184" w14:textId="77777777" w:rsidR="00C742C9" w:rsidRPr="0050205A" w:rsidRDefault="00C742C9">
      <w:pPr>
        <w:spacing w:line="276" w:lineRule="auto"/>
        <w:jc w:val="both"/>
      </w:pPr>
    </w:p>
    <w:p w14:paraId="36482DB6" w14:textId="77777777" w:rsidR="00C742C9" w:rsidRPr="0050205A" w:rsidRDefault="00BC5B1D">
      <w:pPr>
        <w:jc w:val="both"/>
      </w:pPr>
      <w:r w:rsidRPr="0050205A">
        <w:t>In recent tim</w:t>
      </w:r>
      <w:r w:rsidRPr="0050205A">
        <w:t>es, a wider range of investment instruments within the area of sterling deposits have been developed by financial institutions. All of these afford similar security of capital to basic sterling deposits but they also offer the possibility, although never o</w:t>
      </w:r>
      <w:r w:rsidRPr="0050205A">
        <w:t>f course the certainty, of increased returns. The Director of Finance will, in liaison with the council’s external advisers, consider the benefits and drawbacks of these instruments and whether any of them are appropriate for the council. Decisions on whet</w:t>
      </w:r>
      <w:r w:rsidRPr="0050205A">
        <w:t>her to utilise such instruments will be taken after an assessment of whether their use achieves the council's treasury management objectives.</w:t>
      </w:r>
    </w:p>
    <w:p w14:paraId="0A0E60E8" w14:textId="77777777" w:rsidR="00C742C9" w:rsidRPr="00044115" w:rsidRDefault="00C742C9" w:rsidP="00C742C9">
      <w:pPr>
        <w:jc w:val="both"/>
        <w:rPr>
          <w:highlight w:val="green"/>
        </w:rPr>
      </w:pPr>
    </w:p>
    <w:p w14:paraId="64A86A30" w14:textId="77777777" w:rsidR="00C742C9" w:rsidRPr="00834117" w:rsidRDefault="00BC5B1D" w:rsidP="00C742C9">
      <w:pPr>
        <w:spacing w:after="240"/>
        <w:rPr>
          <w:b/>
          <w:bCs/>
          <w:sz w:val="28"/>
          <w:szCs w:val="28"/>
        </w:rPr>
      </w:pPr>
      <w:r w:rsidRPr="00834117">
        <w:rPr>
          <w:b/>
          <w:bCs/>
          <w:sz w:val="28"/>
          <w:szCs w:val="28"/>
        </w:rPr>
        <w:t>Policy on the Use of Financial Derivatives</w:t>
      </w:r>
    </w:p>
    <w:p w14:paraId="2BFE9F56" w14:textId="77777777" w:rsidR="00C742C9" w:rsidRPr="00834117" w:rsidRDefault="00BC5B1D" w:rsidP="00C742C9">
      <w:pPr>
        <w:jc w:val="both"/>
      </w:pPr>
      <w:r w:rsidRPr="00834117">
        <w:t>The council will only use financial derivatives (such as swaps, forwar</w:t>
      </w:r>
      <w:r w:rsidRPr="00834117">
        <w:t>ds, futures and options) on a standalone basis, where it can clearly be demonstrated that as part of the prudent management of the council's financial affairs the use of financial derivatives will have the effect of reducing the level of financial risks th</w:t>
      </w:r>
      <w:r w:rsidRPr="00834117">
        <w:t>at the council is ex</w:t>
      </w:r>
      <w:r w:rsidR="00C302E5" w:rsidRPr="00834117">
        <w:t xml:space="preserve">posed to. </w:t>
      </w:r>
      <w:r w:rsidRPr="00834117">
        <w:t>Additional risks presented, such as credit exposure to derivative counterparties, will be taken into account when determining the overall level of risk.  Many embedded derivatives are already used by local authorities across E</w:t>
      </w:r>
      <w:r w:rsidRPr="00834117">
        <w:t>ngland and Wales including Lancashire, although unlike the government, commercial sector and other public service areas stand-alone derivatives have not generally been used.</w:t>
      </w:r>
    </w:p>
    <w:p w14:paraId="62336F4C" w14:textId="77777777" w:rsidR="00C742C9" w:rsidRPr="00834117" w:rsidRDefault="00C742C9" w:rsidP="00C742C9">
      <w:pPr>
        <w:pStyle w:val="ListParagraph"/>
        <w:ind w:left="0"/>
        <w:jc w:val="both"/>
      </w:pPr>
    </w:p>
    <w:p w14:paraId="6A419444" w14:textId="77777777" w:rsidR="00C742C9" w:rsidRPr="00834117" w:rsidRDefault="00BC5B1D" w:rsidP="00C742C9">
      <w:pPr>
        <w:jc w:val="both"/>
      </w:pPr>
      <w:r w:rsidRPr="00834117">
        <w:t>A derivative is a financial instrument with three main features:</w:t>
      </w:r>
    </w:p>
    <w:p w14:paraId="70E1F6DA" w14:textId="77777777" w:rsidR="00C742C9" w:rsidRPr="00834117" w:rsidRDefault="00C742C9" w:rsidP="00C742C9">
      <w:pPr>
        <w:jc w:val="both"/>
      </w:pPr>
    </w:p>
    <w:p w14:paraId="27C7F698" w14:textId="77777777" w:rsidR="00C742C9" w:rsidRPr="00834117" w:rsidRDefault="00BC5B1D" w:rsidP="00C742C9">
      <w:pPr>
        <w:pStyle w:val="ListParagraph"/>
        <w:numPr>
          <w:ilvl w:val="0"/>
          <w:numId w:val="12"/>
        </w:numPr>
        <w:ind w:left="426" w:hanging="225"/>
        <w:jc w:val="both"/>
      </w:pPr>
      <w:r w:rsidRPr="00834117">
        <w:t>The value chang</w:t>
      </w:r>
      <w:r w:rsidRPr="00834117">
        <w:t xml:space="preserve">es in response to an underlying variable. </w:t>
      </w:r>
    </w:p>
    <w:p w14:paraId="3D4BE030" w14:textId="77777777" w:rsidR="00C742C9" w:rsidRPr="00834117" w:rsidRDefault="00BC5B1D" w:rsidP="00C742C9">
      <w:pPr>
        <w:pStyle w:val="ListParagraph"/>
        <w:numPr>
          <w:ilvl w:val="0"/>
          <w:numId w:val="12"/>
        </w:numPr>
        <w:ind w:left="426" w:hanging="225"/>
        <w:jc w:val="both"/>
      </w:pPr>
      <w:r w:rsidRPr="00834117">
        <w:t>The transaction requires no initial investment, or an initial net investment smaller than would be required for other types of contract with a similar expected response to market changes.</w:t>
      </w:r>
    </w:p>
    <w:p w14:paraId="22E46968" w14:textId="77777777" w:rsidR="00C742C9" w:rsidRPr="00834117" w:rsidRDefault="00BC5B1D" w:rsidP="00C742C9">
      <w:pPr>
        <w:pStyle w:val="ListParagraph"/>
        <w:numPr>
          <w:ilvl w:val="0"/>
          <w:numId w:val="12"/>
        </w:numPr>
        <w:ind w:left="426" w:hanging="225"/>
        <w:jc w:val="both"/>
      </w:pPr>
      <w:r w:rsidRPr="00834117">
        <w:t>The contract is settled a</w:t>
      </w:r>
      <w:r w:rsidRPr="00834117">
        <w:t>t a predetermined future date.</w:t>
      </w:r>
    </w:p>
    <w:p w14:paraId="2FAC77B3" w14:textId="77777777" w:rsidR="00C742C9" w:rsidRPr="00834117" w:rsidRDefault="00C742C9" w:rsidP="00C742C9">
      <w:pPr>
        <w:pStyle w:val="ListParagraph"/>
        <w:ind w:left="1500"/>
        <w:jc w:val="both"/>
      </w:pPr>
    </w:p>
    <w:p w14:paraId="0678DB5B" w14:textId="77777777" w:rsidR="00C742C9" w:rsidRPr="00834117" w:rsidRDefault="00BC5B1D" w:rsidP="00C742C9">
      <w:pPr>
        <w:pStyle w:val="ListParagraph"/>
        <w:ind w:left="0"/>
        <w:jc w:val="both"/>
      </w:pPr>
      <w:r w:rsidRPr="00834117">
        <w:t>The underlying variable represents an existing external risk for which the hedge is required. Examples are a specified interest rate, a commodity price, a credit rating, a foreign exchange rate or any other variable, however</w:t>
      </w:r>
      <w:r w:rsidRPr="00834117">
        <w:t xml:space="preserve"> as the council's treasury activity is not directly exposed to all of these risks, for example foreign exchange or commodity prices, the council’s use of derivatives would be restricted to the management and hedging of interest and inflation rate risk only</w:t>
      </w:r>
      <w:r w:rsidRPr="00834117">
        <w:t xml:space="preserve">. </w:t>
      </w:r>
    </w:p>
    <w:p w14:paraId="6583F6EA" w14:textId="77777777" w:rsidR="00717E3A" w:rsidRPr="00834117" w:rsidRDefault="00717E3A" w:rsidP="00C742C9">
      <w:pPr>
        <w:pStyle w:val="ListParagraph"/>
        <w:ind w:left="0"/>
        <w:jc w:val="both"/>
      </w:pPr>
    </w:p>
    <w:p w14:paraId="12A46C71" w14:textId="77777777" w:rsidR="00C742C9" w:rsidRDefault="00BC5B1D" w:rsidP="00C742C9">
      <w:pPr>
        <w:pStyle w:val="ListParagraph"/>
        <w:ind w:left="0"/>
        <w:jc w:val="both"/>
      </w:pPr>
      <w:r w:rsidRPr="00834117">
        <w:t>The embedded and standalone derivatives which can be used by the council to manage interest rate risk are summarised as follows:</w:t>
      </w:r>
    </w:p>
    <w:p w14:paraId="48E0E113" w14:textId="77777777" w:rsidR="00C248F1" w:rsidRDefault="00C248F1" w:rsidP="00C742C9">
      <w:pPr>
        <w:pStyle w:val="ListParagraph"/>
        <w:ind w:left="0"/>
        <w:jc w:val="both"/>
      </w:pPr>
    </w:p>
    <w:p w14:paraId="76276E51" w14:textId="77777777" w:rsidR="00C248F1" w:rsidRDefault="00C248F1" w:rsidP="00C742C9">
      <w:pPr>
        <w:pStyle w:val="ListParagraph"/>
        <w:ind w:left="0"/>
        <w:jc w:val="both"/>
      </w:pPr>
    </w:p>
    <w:p w14:paraId="61C00027" w14:textId="77777777" w:rsidR="00C248F1" w:rsidRPr="00834117" w:rsidRDefault="00C248F1" w:rsidP="00C742C9">
      <w:pPr>
        <w:pStyle w:val="ListParagraph"/>
        <w:ind w:left="0"/>
        <w:jc w:val="both"/>
      </w:pPr>
    </w:p>
    <w:p w14:paraId="1DD2B335" w14:textId="77777777" w:rsidR="00717E3A" w:rsidRPr="00834117" w:rsidRDefault="00717E3A" w:rsidP="00C742C9">
      <w:pPr>
        <w:pStyle w:val="ListParagraph"/>
        <w:ind w:left="0"/>
        <w:jc w:val="both"/>
      </w:pPr>
    </w:p>
    <w:tbl>
      <w:tblPr>
        <w:tblStyle w:val="TableGrid"/>
        <w:tblW w:w="9053" w:type="dxa"/>
        <w:tblLayout w:type="fixed"/>
        <w:tblLook w:val="04A0" w:firstRow="1" w:lastRow="0" w:firstColumn="1" w:lastColumn="0" w:noHBand="0" w:noVBand="1"/>
      </w:tblPr>
      <w:tblGrid>
        <w:gridCol w:w="1271"/>
        <w:gridCol w:w="2411"/>
        <w:gridCol w:w="2930"/>
        <w:gridCol w:w="2441"/>
      </w:tblGrid>
      <w:tr w:rsidR="00937FCD" w14:paraId="39E4675C" w14:textId="77777777" w:rsidTr="00C742C9">
        <w:tc>
          <w:tcPr>
            <w:tcW w:w="1271" w:type="dxa"/>
          </w:tcPr>
          <w:p w14:paraId="3731C654" w14:textId="77777777" w:rsidR="00C742C9" w:rsidRPr="00834117" w:rsidRDefault="00BC5B1D" w:rsidP="00C742C9">
            <w:pPr>
              <w:pStyle w:val="ListParagraph"/>
              <w:ind w:left="0"/>
              <w:jc w:val="both"/>
              <w:rPr>
                <w:b/>
                <w:sz w:val="22"/>
                <w:szCs w:val="22"/>
              </w:rPr>
            </w:pPr>
            <w:r w:rsidRPr="00834117">
              <w:rPr>
                <w:b/>
                <w:sz w:val="22"/>
                <w:szCs w:val="22"/>
              </w:rPr>
              <w:lastRenderedPageBreak/>
              <w:t>Class</w:t>
            </w:r>
          </w:p>
        </w:tc>
        <w:tc>
          <w:tcPr>
            <w:tcW w:w="2411" w:type="dxa"/>
          </w:tcPr>
          <w:p w14:paraId="0B9268B3" w14:textId="77777777" w:rsidR="00C742C9" w:rsidRPr="00834117" w:rsidRDefault="00BC5B1D" w:rsidP="00C742C9">
            <w:pPr>
              <w:pStyle w:val="ListParagraph"/>
              <w:ind w:left="0"/>
              <w:jc w:val="both"/>
              <w:rPr>
                <w:b/>
                <w:sz w:val="22"/>
                <w:szCs w:val="22"/>
              </w:rPr>
            </w:pPr>
            <w:r w:rsidRPr="00834117">
              <w:rPr>
                <w:b/>
                <w:sz w:val="22"/>
                <w:szCs w:val="22"/>
              </w:rPr>
              <w:t>Use</w:t>
            </w:r>
          </w:p>
        </w:tc>
        <w:tc>
          <w:tcPr>
            <w:tcW w:w="2930" w:type="dxa"/>
          </w:tcPr>
          <w:p w14:paraId="0AC748E3" w14:textId="77777777" w:rsidR="00C742C9" w:rsidRPr="00834117" w:rsidRDefault="00BC5B1D" w:rsidP="00C742C9">
            <w:pPr>
              <w:pStyle w:val="ListParagraph"/>
              <w:ind w:left="0"/>
              <w:jc w:val="both"/>
              <w:rPr>
                <w:b/>
                <w:sz w:val="22"/>
                <w:szCs w:val="22"/>
              </w:rPr>
            </w:pPr>
            <w:r w:rsidRPr="00834117">
              <w:rPr>
                <w:b/>
                <w:sz w:val="22"/>
                <w:szCs w:val="22"/>
              </w:rPr>
              <w:t>Standalone</w:t>
            </w:r>
          </w:p>
        </w:tc>
        <w:tc>
          <w:tcPr>
            <w:tcW w:w="2441" w:type="dxa"/>
          </w:tcPr>
          <w:p w14:paraId="1A43E63D" w14:textId="77777777" w:rsidR="00C742C9" w:rsidRPr="00834117" w:rsidRDefault="00BC5B1D" w:rsidP="00C742C9">
            <w:pPr>
              <w:pStyle w:val="ListParagraph"/>
              <w:ind w:left="0"/>
              <w:jc w:val="both"/>
              <w:rPr>
                <w:b/>
                <w:sz w:val="22"/>
                <w:szCs w:val="22"/>
              </w:rPr>
            </w:pPr>
            <w:r w:rsidRPr="00834117">
              <w:rPr>
                <w:b/>
                <w:sz w:val="22"/>
                <w:szCs w:val="22"/>
              </w:rPr>
              <w:t>Embedded</w:t>
            </w:r>
          </w:p>
        </w:tc>
      </w:tr>
      <w:tr w:rsidR="00937FCD" w14:paraId="296BC3C2" w14:textId="77777777" w:rsidTr="00C742C9">
        <w:tc>
          <w:tcPr>
            <w:tcW w:w="1271" w:type="dxa"/>
          </w:tcPr>
          <w:p w14:paraId="0A5E0CEA" w14:textId="77777777" w:rsidR="00C742C9" w:rsidRPr="00834117" w:rsidRDefault="00BC5B1D" w:rsidP="00C742C9">
            <w:pPr>
              <w:pStyle w:val="ListParagraph"/>
              <w:ind w:left="0"/>
              <w:jc w:val="both"/>
              <w:rPr>
                <w:sz w:val="22"/>
                <w:szCs w:val="22"/>
              </w:rPr>
            </w:pPr>
            <w:r w:rsidRPr="00834117">
              <w:rPr>
                <w:sz w:val="22"/>
                <w:szCs w:val="22"/>
              </w:rPr>
              <w:t>Forwards</w:t>
            </w:r>
          </w:p>
        </w:tc>
        <w:tc>
          <w:tcPr>
            <w:tcW w:w="2411" w:type="dxa"/>
          </w:tcPr>
          <w:p w14:paraId="55223457" w14:textId="77777777" w:rsidR="00C742C9" w:rsidRPr="00834117" w:rsidRDefault="00BC5B1D" w:rsidP="00C742C9">
            <w:pPr>
              <w:pStyle w:val="ListParagraph"/>
              <w:ind w:left="0"/>
              <w:rPr>
                <w:sz w:val="22"/>
                <w:szCs w:val="22"/>
              </w:rPr>
            </w:pPr>
            <w:r w:rsidRPr="00834117">
              <w:rPr>
                <w:sz w:val="22"/>
                <w:szCs w:val="22"/>
              </w:rPr>
              <w:t>To fix an interest or inflation rate for a single period in the future</w:t>
            </w:r>
          </w:p>
        </w:tc>
        <w:tc>
          <w:tcPr>
            <w:tcW w:w="2930" w:type="dxa"/>
          </w:tcPr>
          <w:p w14:paraId="1C3EC473" w14:textId="77777777" w:rsidR="00C742C9" w:rsidRPr="00834117" w:rsidRDefault="00BC5B1D" w:rsidP="006D1274">
            <w:pPr>
              <w:pStyle w:val="ListParagraph"/>
              <w:ind w:left="0"/>
              <w:rPr>
                <w:sz w:val="22"/>
                <w:szCs w:val="22"/>
              </w:rPr>
            </w:pPr>
            <w:r w:rsidRPr="00834117">
              <w:rPr>
                <w:sz w:val="22"/>
                <w:szCs w:val="22"/>
              </w:rPr>
              <w:t xml:space="preserve">Forward Rate Agreement, </w:t>
            </w:r>
            <w:r w:rsidR="006B337B" w:rsidRPr="00834117">
              <w:rPr>
                <w:sz w:val="22"/>
                <w:szCs w:val="22"/>
              </w:rPr>
              <w:t>g</w:t>
            </w:r>
            <w:r w:rsidRPr="00834117">
              <w:rPr>
                <w:sz w:val="22"/>
                <w:szCs w:val="22"/>
              </w:rPr>
              <w:t xml:space="preserve">ilt lock, interest rate or </w:t>
            </w:r>
            <w:r w:rsidR="006B337B" w:rsidRPr="00834117">
              <w:rPr>
                <w:sz w:val="22"/>
                <w:szCs w:val="22"/>
              </w:rPr>
              <w:t>g</w:t>
            </w:r>
            <w:r w:rsidRPr="00834117">
              <w:rPr>
                <w:sz w:val="22"/>
                <w:szCs w:val="22"/>
              </w:rPr>
              <w:t>ilt futures</w:t>
            </w:r>
          </w:p>
        </w:tc>
        <w:tc>
          <w:tcPr>
            <w:tcW w:w="2441" w:type="dxa"/>
          </w:tcPr>
          <w:p w14:paraId="2F033743" w14:textId="77777777" w:rsidR="00C742C9" w:rsidRPr="00834117" w:rsidRDefault="00BC5B1D" w:rsidP="00C742C9">
            <w:pPr>
              <w:pStyle w:val="ListParagraph"/>
              <w:ind w:left="0"/>
              <w:rPr>
                <w:sz w:val="22"/>
                <w:szCs w:val="22"/>
              </w:rPr>
            </w:pPr>
            <w:r w:rsidRPr="00834117">
              <w:rPr>
                <w:sz w:val="22"/>
                <w:szCs w:val="22"/>
              </w:rPr>
              <w:t>Forward Deal</w:t>
            </w:r>
          </w:p>
        </w:tc>
      </w:tr>
      <w:tr w:rsidR="00937FCD" w14:paraId="7FEC7B34" w14:textId="77777777" w:rsidTr="00C742C9">
        <w:tc>
          <w:tcPr>
            <w:tcW w:w="1271" w:type="dxa"/>
          </w:tcPr>
          <w:p w14:paraId="2641A8B8" w14:textId="77777777" w:rsidR="00C742C9" w:rsidRPr="00834117" w:rsidRDefault="00BC5B1D" w:rsidP="00C742C9">
            <w:pPr>
              <w:pStyle w:val="ListParagraph"/>
              <w:ind w:left="0"/>
              <w:jc w:val="both"/>
              <w:rPr>
                <w:sz w:val="22"/>
                <w:szCs w:val="22"/>
              </w:rPr>
            </w:pPr>
            <w:r w:rsidRPr="00834117">
              <w:rPr>
                <w:sz w:val="22"/>
                <w:szCs w:val="22"/>
              </w:rPr>
              <w:t>Swaps</w:t>
            </w:r>
          </w:p>
        </w:tc>
        <w:tc>
          <w:tcPr>
            <w:tcW w:w="2411" w:type="dxa"/>
          </w:tcPr>
          <w:p w14:paraId="3FF25A02" w14:textId="77777777" w:rsidR="00C742C9" w:rsidRPr="00834117" w:rsidRDefault="00BC5B1D" w:rsidP="00C742C9">
            <w:pPr>
              <w:pStyle w:val="ListParagraph"/>
              <w:ind w:left="0"/>
              <w:rPr>
                <w:sz w:val="22"/>
                <w:szCs w:val="22"/>
              </w:rPr>
            </w:pPr>
            <w:r w:rsidRPr="00834117">
              <w:rPr>
                <w:sz w:val="22"/>
                <w:szCs w:val="22"/>
              </w:rPr>
              <w:t xml:space="preserve">To exchange interest  or inflation rate exposures </w:t>
            </w:r>
          </w:p>
          <w:p w14:paraId="4F73DD49" w14:textId="77777777" w:rsidR="00C742C9" w:rsidRPr="00834117" w:rsidRDefault="00BC5B1D" w:rsidP="00C742C9">
            <w:pPr>
              <w:pStyle w:val="ListParagraph"/>
              <w:ind w:left="0"/>
              <w:rPr>
                <w:sz w:val="22"/>
                <w:szCs w:val="22"/>
              </w:rPr>
            </w:pPr>
            <w:r w:rsidRPr="00834117">
              <w:rPr>
                <w:sz w:val="22"/>
                <w:szCs w:val="22"/>
              </w:rPr>
              <w:t>(e.g. fixed to floating)</w:t>
            </w:r>
          </w:p>
        </w:tc>
        <w:tc>
          <w:tcPr>
            <w:tcW w:w="2930" w:type="dxa"/>
          </w:tcPr>
          <w:p w14:paraId="2AFD1C34" w14:textId="77777777" w:rsidR="00C742C9" w:rsidRPr="00834117" w:rsidRDefault="00BC5B1D" w:rsidP="00C742C9">
            <w:pPr>
              <w:pStyle w:val="ListParagraph"/>
              <w:ind w:left="0"/>
              <w:rPr>
                <w:sz w:val="22"/>
                <w:szCs w:val="22"/>
              </w:rPr>
            </w:pPr>
            <w:r w:rsidRPr="00834117">
              <w:rPr>
                <w:sz w:val="22"/>
                <w:szCs w:val="22"/>
              </w:rPr>
              <w:t>Interest or inflation rate swap (IRS), basis swap.</w:t>
            </w:r>
          </w:p>
        </w:tc>
        <w:tc>
          <w:tcPr>
            <w:tcW w:w="2441" w:type="dxa"/>
          </w:tcPr>
          <w:p w14:paraId="4B2FB2D5" w14:textId="77777777" w:rsidR="00C742C9" w:rsidRPr="00834117" w:rsidRDefault="00BC5B1D" w:rsidP="00C742C9">
            <w:pPr>
              <w:pStyle w:val="ListParagraph"/>
              <w:ind w:left="0"/>
              <w:rPr>
                <w:sz w:val="22"/>
                <w:szCs w:val="22"/>
              </w:rPr>
            </w:pPr>
            <w:r w:rsidRPr="00834117">
              <w:rPr>
                <w:sz w:val="22"/>
                <w:szCs w:val="22"/>
              </w:rPr>
              <w:t xml:space="preserve">Variable rate deposit, Floating rate </w:t>
            </w:r>
            <w:r w:rsidRPr="00834117">
              <w:rPr>
                <w:sz w:val="22"/>
                <w:szCs w:val="22"/>
              </w:rPr>
              <w:t>note</w:t>
            </w:r>
          </w:p>
        </w:tc>
      </w:tr>
      <w:tr w:rsidR="00937FCD" w14:paraId="26992C2B" w14:textId="77777777" w:rsidTr="00C742C9">
        <w:trPr>
          <w:trHeight w:val="574"/>
        </w:trPr>
        <w:tc>
          <w:tcPr>
            <w:tcW w:w="1271" w:type="dxa"/>
          </w:tcPr>
          <w:p w14:paraId="2E3F7453" w14:textId="77777777" w:rsidR="00C742C9" w:rsidRPr="00834117" w:rsidRDefault="00BC5B1D" w:rsidP="00C742C9">
            <w:pPr>
              <w:pStyle w:val="ListParagraph"/>
              <w:ind w:left="0"/>
              <w:jc w:val="both"/>
              <w:rPr>
                <w:sz w:val="22"/>
                <w:szCs w:val="22"/>
              </w:rPr>
            </w:pPr>
            <w:r w:rsidRPr="00834117">
              <w:rPr>
                <w:sz w:val="22"/>
                <w:szCs w:val="22"/>
              </w:rPr>
              <w:t>Purchased Options</w:t>
            </w:r>
          </w:p>
        </w:tc>
        <w:tc>
          <w:tcPr>
            <w:tcW w:w="2411" w:type="dxa"/>
          </w:tcPr>
          <w:p w14:paraId="535E667F" w14:textId="77777777" w:rsidR="00C742C9" w:rsidRPr="00834117" w:rsidRDefault="00BC5B1D" w:rsidP="00C742C9">
            <w:pPr>
              <w:pStyle w:val="ListParagraph"/>
              <w:ind w:left="0"/>
              <w:rPr>
                <w:sz w:val="22"/>
                <w:szCs w:val="22"/>
              </w:rPr>
            </w:pPr>
            <w:r w:rsidRPr="00834117">
              <w:rPr>
                <w:sz w:val="22"/>
                <w:szCs w:val="22"/>
              </w:rPr>
              <w:t>The right but no obligation to fix an interest or inflation rate in exchange for paying a premium</w:t>
            </w:r>
          </w:p>
        </w:tc>
        <w:tc>
          <w:tcPr>
            <w:tcW w:w="2930" w:type="dxa"/>
          </w:tcPr>
          <w:p w14:paraId="678F07E0" w14:textId="77777777" w:rsidR="00C742C9" w:rsidRPr="00834117" w:rsidRDefault="00BC5B1D" w:rsidP="00C742C9">
            <w:pPr>
              <w:pStyle w:val="ListParagraph"/>
              <w:ind w:left="0"/>
              <w:rPr>
                <w:sz w:val="22"/>
                <w:szCs w:val="22"/>
              </w:rPr>
            </w:pPr>
            <w:r w:rsidRPr="00834117">
              <w:rPr>
                <w:sz w:val="22"/>
                <w:szCs w:val="22"/>
              </w:rPr>
              <w:t>Caps, floors, collars, swaptions, puts, calls</w:t>
            </w:r>
          </w:p>
        </w:tc>
        <w:tc>
          <w:tcPr>
            <w:tcW w:w="2441" w:type="dxa"/>
          </w:tcPr>
          <w:p w14:paraId="752E123C" w14:textId="77777777" w:rsidR="00C742C9" w:rsidRPr="00834117" w:rsidRDefault="00BC5B1D" w:rsidP="00C742C9">
            <w:pPr>
              <w:pStyle w:val="ListParagraph"/>
              <w:ind w:left="0"/>
              <w:rPr>
                <w:sz w:val="22"/>
                <w:szCs w:val="22"/>
              </w:rPr>
            </w:pPr>
            <w:r w:rsidRPr="00834117">
              <w:rPr>
                <w:sz w:val="22"/>
                <w:szCs w:val="22"/>
              </w:rPr>
              <w:t>Callable loan</w:t>
            </w:r>
          </w:p>
          <w:p w14:paraId="037E7D4A" w14:textId="77777777" w:rsidR="00C742C9" w:rsidRPr="00834117" w:rsidRDefault="00BC5B1D" w:rsidP="00C742C9">
            <w:pPr>
              <w:pStyle w:val="ListParagraph"/>
              <w:ind w:left="0"/>
              <w:rPr>
                <w:sz w:val="22"/>
                <w:szCs w:val="22"/>
              </w:rPr>
            </w:pPr>
            <w:r w:rsidRPr="00834117">
              <w:rPr>
                <w:sz w:val="22"/>
                <w:szCs w:val="22"/>
              </w:rPr>
              <w:t>Collared deposit</w:t>
            </w:r>
          </w:p>
        </w:tc>
      </w:tr>
    </w:tbl>
    <w:p w14:paraId="5D402E82" w14:textId="77777777" w:rsidR="00C742C9" w:rsidRPr="00834117" w:rsidRDefault="00C742C9" w:rsidP="00C742C9">
      <w:pPr>
        <w:jc w:val="both"/>
      </w:pPr>
    </w:p>
    <w:p w14:paraId="0245169C" w14:textId="77777777" w:rsidR="00C742C9" w:rsidRPr="00834117" w:rsidRDefault="00BC5B1D" w:rsidP="00C742C9">
      <w:pPr>
        <w:jc w:val="both"/>
      </w:pPr>
      <w:r w:rsidRPr="00834117">
        <w:t xml:space="preserve">The council will not sell interest rate or </w:t>
      </w:r>
      <w:r w:rsidRPr="00834117">
        <w:t>inflation rate options, (i.e. give another party the right to fix a rate) since these cannot reduce the council’s risk. The only exception is where a sold option is combined with a purchased option of equal or higher premium to create a collar or other str</w:t>
      </w:r>
      <w:r w:rsidRPr="00834117">
        <w:t>uctured outcome where maximum is the total premium.</w:t>
      </w:r>
    </w:p>
    <w:p w14:paraId="2F8108EF" w14:textId="77777777" w:rsidR="00C742C9" w:rsidRPr="00834117" w:rsidRDefault="00C742C9" w:rsidP="00C742C9">
      <w:pPr>
        <w:jc w:val="both"/>
      </w:pPr>
    </w:p>
    <w:p w14:paraId="04407D64" w14:textId="77777777" w:rsidR="00C742C9" w:rsidRPr="00834117" w:rsidRDefault="00BC5B1D" w:rsidP="00C742C9">
      <w:pPr>
        <w:jc w:val="both"/>
      </w:pPr>
      <w:r w:rsidRPr="00834117">
        <w:t>There are two methods of engaging in derivative contracts, exchange traded or settled derivatives and over the counter derivatives. The former are available in public markets and trade over a physical ex</w:t>
      </w:r>
      <w:r w:rsidRPr="00834117">
        <w:t xml:space="preserve">change with a clearing house acting as an intermediary and include futures and options. Over the counter contracts are privately negotiated and traded between two counterparties and can include swaps and forwards. </w:t>
      </w:r>
    </w:p>
    <w:p w14:paraId="39171129" w14:textId="77777777" w:rsidR="00C742C9" w:rsidRPr="00834117" w:rsidRDefault="00C742C9" w:rsidP="00C742C9">
      <w:pPr>
        <w:jc w:val="both"/>
      </w:pPr>
    </w:p>
    <w:p w14:paraId="44FA35B3" w14:textId="77777777" w:rsidR="00C742C9" w:rsidRPr="00834117" w:rsidRDefault="00BC5B1D" w:rsidP="00C742C9">
      <w:pPr>
        <w:jc w:val="both"/>
      </w:pPr>
      <w:r w:rsidRPr="00834117">
        <w:t>In a derivative contract both parties ar</w:t>
      </w:r>
      <w:r w:rsidRPr="00834117">
        <w:t xml:space="preserve">e often required to provide collateral (i.e. pools of valuable and liquid assets set aside specifically to back liabilities arising from the contract) to reduce credit risk. The method of assessing counterparty quality and suitability of collateral within </w:t>
      </w:r>
      <w:r w:rsidRPr="00834117">
        <w:t>the structure of the contracts is shown as follows:</w:t>
      </w:r>
    </w:p>
    <w:p w14:paraId="4DEAEBC5" w14:textId="77777777" w:rsidR="00717E3A" w:rsidRPr="00834117" w:rsidRDefault="00717E3A" w:rsidP="00C742C9">
      <w:pPr>
        <w:jc w:val="both"/>
      </w:pPr>
    </w:p>
    <w:tbl>
      <w:tblPr>
        <w:tblStyle w:val="TableGrid"/>
        <w:tblW w:w="8926" w:type="dxa"/>
        <w:tblLayout w:type="fixed"/>
        <w:tblLook w:val="04A0" w:firstRow="1" w:lastRow="0" w:firstColumn="1" w:lastColumn="0" w:noHBand="0" w:noVBand="1"/>
      </w:tblPr>
      <w:tblGrid>
        <w:gridCol w:w="2268"/>
        <w:gridCol w:w="2405"/>
        <w:gridCol w:w="2126"/>
        <w:gridCol w:w="2127"/>
      </w:tblGrid>
      <w:tr w:rsidR="00937FCD" w14:paraId="263DE239" w14:textId="77777777" w:rsidTr="00C742C9">
        <w:trPr>
          <w:trHeight w:val="284"/>
        </w:trPr>
        <w:tc>
          <w:tcPr>
            <w:tcW w:w="2268" w:type="dxa"/>
          </w:tcPr>
          <w:p w14:paraId="4863B2F1" w14:textId="77777777" w:rsidR="00C742C9" w:rsidRPr="00834117" w:rsidRDefault="00BC5B1D" w:rsidP="00C742C9">
            <w:pPr>
              <w:jc w:val="both"/>
              <w:rPr>
                <w:b/>
                <w:sz w:val="22"/>
                <w:szCs w:val="22"/>
              </w:rPr>
            </w:pPr>
            <w:r w:rsidRPr="00834117">
              <w:rPr>
                <w:b/>
                <w:sz w:val="22"/>
                <w:szCs w:val="22"/>
              </w:rPr>
              <w:t>Product</w:t>
            </w:r>
          </w:p>
        </w:tc>
        <w:tc>
          <w:tcPr>
            <w:tcW w:w="2405" w:type="dxa"/>
          </w:tcPr>
          <w:p w14:paraId="33D4A13E" w14:textId="77777777" w:rsidR="00C742C9" w:rsidRPr="00834117" w:rsidRDefault="00BC5B1D" w:rsidP="00C742C9">
            <w:pPr>
              <w:rPr>
                <w:b/>
                <w:sz w:val="22"/>
                <w:szCs w:val="22"/>
              </w:rPr>
            </w:pPr>
            <w:r w:rsidRPr="00834117">
              <w:rPr>
                <w:b/>
                <w:sz w:val="22"/>
                <w:szCs w:val="22"/>
              </w:rPr>
              <w:t>Counterparty Quality</w:t>
            </w:r>
          </w:p>
        </w:tc>
        <w:tc>
          <w:tcPr>
            <w:tcW w:w="2126" w:type="dxa"/>
          </w:tcPr>
          <w:p w14:paraId="7F3A8B41" w14:textId="77777777" w:rsidR="00C742C9" w:rsidRPr="00834117" w:rsidRDefault="00BC5B1D" w:rsidP="00C742C9">
            <w:pPr>
              <w:jc w:val="both"/>
              <w:rPr>
                <w:b/>
                <w:sz w:val="22"/>
                <w:szCs w:val="22"/>
              </w:rPr>
            </w:pPr>
            <w:r w:rsidRPr="00834117">
              <w:rPr>
                <w:b/>
                <w:sz w:val="22"/>
                <w:szCs w:val="22"/>
              </w:rPr>
              <w:t>Security</w:t>
            </w:r>
          </w:p>
        </w:tc>
        <w:tc>
          <w:tcPr>
            <w:tcW w:w="2127" w:type="dxa"/>
          </w:tcPr>
          <w:p w14:paraId="03FD449D" w14:textId="77777777" w:rsidR="00C742C9" w:rsidRPr="00834117" w:rsidRDefault="00BC5B1D" w:rsidP="00C742C9">
            <w:pPr>
              <w:jc w:val="both"/>
              <w:rPr>
                <w:b/>
                <w:sz w:val="22"/>
                <w:szCs w:val="22"/>
              </w:rPr>
            </w:pPr>
            <w:r w:rsidRPr="00834117">
              <w:rPr>
                <w:b/>
                <w:sz w:val="22"/>
                <w:szCs w:val="22"/>
              </w:rPr>
              <w:t>Method</w:t>
            </w:r>
          </w:p>
        </w:tc>
      </w:tr>
      <w:tr w:rsidR="00937FCD" w14:paraId="3E611BA0" w14:textId="77777777" w:rsidTr="00C742C9">
        <w:trPr>
          <w:trHeight w:val="447"/>
        </w:trPr>
        <w:tc>
          <w:tcPr>
            <w:tcW w:w="2268" w:type="dxa"/>
          </w:tcPr>
          <w:p w14:paraId="2F1C7E79" w14:textId="77777777" w:rsidR="00C742C9" w:rsidRPr="00834117" w:rsidRDefault="00BC5B1D" w:rsidP="00C742C9">
            <w:pPr>
              <w:rPr>
                <w:sz w:val="22"/>
                <w:szCs w:val="22"/>
              </w:rPr>
            </w:pPr>
            <w:r w:rsidRPr="00834117">
              <w:rPr>
                <w:sz w:val="22"/>
                <w:szCs w:val="22"/>
              </w:rPr>
              <w:t>Exchange traded or cleared product</w:t>
            </w:r>
          </w:p>
        </w:tc>
        <w:tc>
          <w:tcPr>
            <w:tcW w:w="2405" w:type="dxa"/>
          </w:tcPr>
          <w:p w14:paraId="732CB2A8" w14:textId="77777777" w:rsidR="00C742C9" w:rsidRPr="00834117" w:rsidRDefault="00BC5B1D" w:rsidP="00C742C9">
            <w:pPr>
              <w:rPr>
                <w:sz w:val="22"/>
                <w:szCs w:val="22"/>
              </w:rPr>
            </w:pPr>
            <w:r w:rsidRPr="00834117">
              <w:rPr>
                <w:sz w:val="22"/>
                <w:szCs w:val="22"/>
              </w:rPr>
              <w:t>Credit rating of exchange</w:t>
            </w:r>
          </w:p>
        </w:tc>
        <w:tc>
          <w:tcPr>
            <w:tcW w:w="2126" w:type="dxa"/>
          </w:tcPr>
          <w:p w14:paraId="14CEDAE8" w14:textId="77777777" w:rsidR="00C742C9" w:rsidRPr="00834117" w:rsidRDefault="00BC5B1D" w:rsidP="00C742C9">
            <w:pPr>
              <w:rPr>
                <w:sz w:val="22"/>
                <w:szCs w:val="22"/>
              </w:rPr>
            </w:pPr>
            <w:r w:rsidRPr="00834117">
              <w:rPr>
                <w:sz w:val="22"/>
                <w:szCs w:val="22"/>
              </w:rPr>
              <w:t>Credit rating of clearing agent</w:t>
            </w:r>
          </w:p>
        </w:tc>
        <w:tc>
          <w:tcPr>
            <w:tcW w:w="2127" w:type="dxa"/>
          </w:tcPr>
          <w:p w14:paraId="5EB0C421" w14:textId="77777777" w:rsidR="00C742C9" w:rsidRPr="00834117" w:rsidRDefault="00BC5B1D" w:rsidP="00C742C9">
            <w:pPr>
              <w:rPr>
                <w:sz w:val="22"/>
                <w:szCs w:val="22"/>
              </w:rPr>
            </w:pPr>
            <w:r w:rsidRPr="00834117">
              <w:rPr>
                <w:sz w:val="22"/>
                <w:szCs w:val="22"/>
              </w:rPr>
              <w:t xml:space="preserve">Margin netting </w:t>
            </w:r>
          </w:p>
        </w:tc>
      </w:tr>
      <w:tr w:rsidR="00937FCD" w14:paraId="7B53728E" w14:textId="77777777" w:rsidTr="00C742C9">
        <w:trPr>
          <w:trHeight w:val="447"/>
        </w:trPr>
        <w:tc>
          <w:tcPr>
            <w:tcW w:w="2268" w:type="dxa"/>
          </w:tcPr>
          <w:p w14:paraId="2E6DA9B5" w14:textId="77777777" w:rsidR="00C742C9" w:rsidRPr="00834117" w:rsidRDefault="00BC5B1D" w:rsidP="006D1274">
            <w:pPr>
              <w:rPr>
                <w:sz w:val="22"/>
                <w:szCs w:val="22"/>
              </w:rPr>
            </w:pPr>
            <w:r w:rsidRPr="00834117">
              <w:rPr>
                <w:sz w:val="22"/>
                <w:szCs w:val="22"/>
              </w:rPr>
              <w:t xml:space="preserve">Bilateral </w:t>
            </w:r>
            <w:r w:rsidR="006D1274" w:rsidRPr="00834117">
              <w:rPr>
                <w:sz w:val="22"/>
                <w:szCs w:val="22"/>
              </w:rPr>
              <w:t>Forward rate agreements</w:t>
            </w:r>
            <w:r w:rsidRPr="00834117">
              <w:rPr>
                <w:sz w:val="22"/>
                <w:szCs w:val="22"/>
              </w:rPr>
              <w:t xml:space="preserve"> and  </w:t>
            </w:r>
            <w:r w:rsidRPr="00834117">
              <w:rPr>
                <w:sz w:val="22"/>
                <w:szCs w:val="22"/>
              </w:rPr>
              <w:t>swaps assuming netting</w:t>
            </w:r>
          </w:p>
        </w:tc>
        <w:tc>
          <w:tcPr>
            <w:tcW w:w="2405" w:type="dxa"/>
          </w:tcPr>
          <w:p w14:paraId="401463C3" w14:textId="77777777" w:rsidR="00C742C9" w:rsidRPr="00834117" w:rsidRDefault="00BC5B1D" w:rsidP="00C742C9">
            <w:pPr>
              <w:rPr>
                <w:sz w:val="22"/>
                <w:szCs w:val="22"/>
              </w:rPr>
            </w:pPr>
            <w:r w:rsidRPr="00834117">
              <w:rPr>
                <w:sz w:val="22"/>
                <w:szCs w:val="22"/>
              </w:rPr>
              <w:t>Credit rating of counterparty</w:t>
            </w:r>
          </w:p>
        </w:tc>
        <w:tc>
          <w:tcPr>
            <w:tcW w:w="2126" w:type="dxa"/>
          </w:tcPr>
          <w:p w14:paraId="694415F7" w14:textId="77777777" w:rsidR="00C742C9" w:rsidRPr="00834117" w:rsidRDefault="00BC5B1D" w:rsidP="00C742C9">
            <w:pPr>
              <w:rPr>
                <w:sz w:val="22"/>
                <w:szCs w:val="22"/>
              </w:rPr>
            </w:pPr>
            <w:r w:rsidRPr="00834117">
              <w:rPr>
                <w:sz w:val="22"/>
                <w:szCs w:val="22"/>
              </w:rPr>
              <w:t>Full 2-way collateral arrangements</w:t>
            </w:r>
          </w:p>
        </w:tc>
        <w:tc>
          <w:tcPr>
            <w:tcW w:w="2127" w:type="dxa"/>
          </w:tcPr>
          <w:p w14:paraId="740B94AC" w14:textId="77777777" w:rsidR="00C742C9" w:rsidRPr="00834117" w:rsidRDefault="00BC5B1D" w:rsidP="00C742C9">
            <w:pPr>
              <w:rPr>
                <w:sz w:val="22"/>
                <w:szCs w:val="22"/>
              </w:rPr>
            </w:pPr>
            <w:r w:rsidRPr="00834117">
              <w:rPr>
                <w:sz w:val="22"/>
                <w:szCs w:val="22"/>
              </w:rPr>
              <w:t>Types of collateral agreed and any haircuts</w:t>
            </w:r>
          </w:p>
        </w:tc>
      </w:tr>
      <w:tr w:rsidR="00937FCD" w14:paraId="507999A4" w14:textId="77777777" w:rsidTr="00C742C9">
        <w:trPr>
          <w:trHeight w:val="447"/>
        </w:trPr>
        <w:tc>
          <w:tcPr>
            <w:tcW w:w="2268" w:type="dxa"/>
          </w:tcPr>
          <w:p w14:paraId="4B5EBD54" w14:textId="77777777" w:rsidR="00C742C9" w:rsidRPr="00834117" w:rsidRDefault="00BC5B1D" w:rsidP="00C742C9">
            <w:pPr>
              <w:rPr>
                <w:sz w:val="22"/>
                <w:szCs w:val="22"/>
              </w:rPr>
            </w:pPr>
            <w:r w:rsidRPr="00834117">
              <w:rPr>
                <w:sz w:val="22"/>
                <w:szCs w:val="22"/>
              </w:rPr>
              <w:t>O</w:t>
            </w:r>
            <w:r w:rsidR="00CC531B">
              <w:rPr>
                <w:sz w:val="22"/>
                <w:szCs w:val="22"/>
              </w:rPr>
              <w:t xml:space="preserve">ver </w:t>
            </w:r>
            <w:r w:rsidRPr="00834117">
              <w:rPr>
                <w:sz w:val="22"/>
                <w:szCs w:val="22"/>
              </w:rPr>
              <w:t>T</w:t>
            </w:r>
            <w:r w:rsidR="00CC531B">
              <w:rPr>
                <w:sz w:val="22"/>
                <w:szCs w:val="22"/>
              </w:rPr>
              <w:t xml:space="preserve">he </w:t>
            </w:r>
            <w:r w:rsidRPr="00834117">
              <w:rPr>
                <w:sz w:val="22"/>
                <w:szCs w:val="22"/>
              </w:rPr>
              <w:t>C</w:t>
            </w:r>
            <w:r w:rsidR="00CC531B">
              <w:rPr>
                <w:sz w:val="22"/>
                <w:szCs w:val="22"/>
              </w:rPr>
              <w:t>ounter</w:t>
            </w:r>
            <w:r w:rsidRPr="00834117">
              <w:rPr>
                <w:sz w:val="22"/>
                <w:szCs w:val="22"/>
              </w:rPr>
              <w:t xml:space="preserve"> </w:t>
            </w:r>
            <w:r w:rsidR="00C248F1">
              <w:rPr>
                <w:sz w:val="22"/>
                <w:szCs w:val="22"/>
              </w:rPr>
              <w:t>o</w:t>
            </w:r>
            <w:r w:rsidRPr="00834117">
              <w:rPr>
                <w:sz w:val="22"/>
                <w:szCs w:val="22"/>
              </w:rPr>
              <w:t>ptions</w:t>
            </w:r>
          </w:p>
        </w:tc>
        <w:tc>
          <w:tcPr>
            <w:tcW w:w="2405" w:type="dxa"/>
          </w:tcPr>
          <w:p w14:paraId="0C921038" w14:textId="77777777" w:rsidR="00C742C9" w:rsidRPr="00834117" w:rsidRDefault="00BC5B1D" w:rsidP="00C742C9">
            <w:pPr>
              <w:rPr>
                <w:sz w:val="22"/>
                <w:szCs w:val="22"/>
              </w:rPr>
            </w:pPr>
            <w:r w:rsidRPr="00834117">
              <w:rPr>
                <w:sz w:val="22"/>
                <w:szCs w:val="22"/>
              </w:rPr>
              <w:t>Credit rating of counterparty</w:t>
            </w:r>
          </w:p>
        </w:tc>
        <w:tc>
          <w:tcPr>
            <w:tcW w:w="2126" w:type="dxa"/>
          </w:tcPr>
          <w:p w14:paraId="5A84D982" w14:textId="77777777" w:rsidR="00C742C9" w:rsidRPr="00834117" w:rsidRDefault="00BC5B1D" w:rsidP="00C742C9">
            <w:pPr>
              <w:rPr>
                <w:sz w:val="22"/>
                <w:szCs w:val="22"/>
              </w:rPr>
            </w:pPr>
            <w:r w:rsidRPr="00834117">
              <w:rPr>
                <w:sz w:val="22"/>
                <w:szCs w:val="22"/>
              </w:rPr>
              <w:t xml:space="preserve">Agreed full 2-way collateral </w:t>
            </w:r>
          </w:p>
        </w:tc>
        <w:tc>
          <w:tcPr>
            <w:tcW w:w="2127" w:type="dxa"/>
          </w:tcPr>
          <w:p w14:paraId="35992DAA" w14:textId="77777777" w:rsidR="00C742C9" w:rsidRPr="00834117" w:rsidRDefault="00BC5B1D" w:rsidP="00C742C9">
            <w:pPr>
              <w:rPr>
                <w:sz w:val="22"/>
                <w:szCs w:val="22"/>
              </w:rPr>
            </w:pPr>
            <w:r w:rsidRPr="00834117">
              <w:rPr>
                <w:sz w:val="22"/>
                <w:szCs w:val="22"/>
              </w:rPr>
              <w:t>Types of collateral and haircuts</w:t>
            </w:r>
          </w:p>
        </w:tc>
      </w:tr>
      <w:tr w:rsidR="00937FCD" w14:paraId="54AEFB52" w14:textId="77777777" w:rsidTr="00C742C9">
        <w:trPr>
          <w:trHeight w:val="472"/>
        </w:trPr>
        <w:tc>
          <w:tcPr>
            <w:tcW w:w="2268" w:type="dxa"/>
          </w:tcPr>
          <w:p w14:paraId="6407FBF9" w14:textId="77777777" w:rsidR="00C742C9" w:rsidRPr="00834117" w:rsidRDefault="00BC5B1D" w:rsidP="00C742C9">
            <w:pPr>
              <w:rPr>
                <w:sz w:val="22"/>
                <w:szCs w:val="22"/>
              </w:rPr>
            </w:pPr>
            <w:r w:rsidRPr="00834117">
              <w:rPr>
                <w:sz w:val="22"/>
                <w:szCs w:val="22"/>
              </w:rPr>
              <w:t>Intr</w:t>
            </w:r>
            <w:r w:rsidRPr="00834117">
              <w:rPr>
                <w:sz w:val="22"/>
                <w:szCs w:val="22"/>
              </w:rPr>
              <w:t xml:space="preserve">a Local Authority swaps </w:t>
            </w:r>
          </w:p>
        </w:tc>
        <w:tc>
          <w:tcPr>
            <w:tcW w:w="2405" w:type="dxa"/>
          </w:tcPr>
          <w:p w14:paraId="215A5FAB" w14:textId="77777777" w:rsidR="00C742C9" w:rsidRPr="00834117" w:rsidRDefault="00BC5B1D" w:rsidP="00C742C9">
            <w:pPr>
              <w:rPr>
                <w:sz w:val="22"/>
                <w:szCs w:val="22"/>
              </w:rPr>
            </w:pPr>
            <w:r w:rsidRPr="00834117">
              <w:rPr>
                <w:sz w:val="22"/>
                <w:szCs w:val="22"/>
              </w:rPr>
              <w:t>Assumed Credit rating</w:t>
            </w:r>
          </w:p>
        </w:tc>
        <w:tc>
          <w:tcPr>
            <w:tcW w:w="2126" w:type="dxa"/>
          </w:tcPr>
          <w:p w14:paraId="2314DF4A" w14:textId="77777777" w:rsidR="00C742C9" w:rsidRPr="00834117" w:rsidRDefault="00BC5B1D" w:rsidP="00C742C9">
            <w:pPr>
              <w:rPr>
                <w:sz w:val="22"/>
                <w:szCs w:val="22"/>
              </w:rPr>
            </w:pPr>
            <w:r w:rsidRPr="00834117">
              <w:rPr>
                <w:sz w:val="22"/>
                <w:szCs w:val="22"/>
              </w:rPr>
              <w:t>2-way collateral (cash)</w:t>
            </w:r>
          </w:p>
        </w:tc>
        <w:tc>
          <w:tcPr>
            <w:tcW w:w="2127" w:type="dxa"/>
          </w:tcPr>
          <w:p w14:paraId="72C6EE40" w14:textId="77777777" w:rsidR="00C742C9" w:rsidRPr="00834117" w:rsidRDefault="00BC5B1D" w:rsidP="00C742C9">
            <w:pPr>
              <w:rPr>
                <w:sz w:val="22"/>
                <w:szCs w:val="22"/>
              </w:rPr>
            </w:pPr>
            <w:r w:rsidRPr="00834117">
              <w:rPr>
                <w:sz w:val="22"/>
                <w:szCs w:val="22"/>
              </w:rPr>
              <w:t xml:space="preserve">No haircut </w:t>
            </w:r>
          </w:p>
        </w:tc>
      </w:tr>
    </w:tbl>
    <w:p w14:paraId="57EC4C2F" w14:textId="77777777" w:rsidR="00717E3A" w:rsidRPr="00834117" w:rsidRDefault="00717E3A" w:rsidP="00C742C9">
      <w:pPr>
        <w:jc w:val="both"/>
      </w:pPr>
    </w:p>
    <w:p w14:paraId="1F338749" w14:textId="77777777" w:rsidR="00C742C9" w:rsidRPr="00834117" w:rsidRDefault="00BC5B1D" w:rsidP="00C742C9">
      <w:pPr>
        <w:jc w:val="both"/>
      </w:pPr>
      <w:r w:rsidRPr="00834117">
        <w:t xml:space="preserve">The credit quality of the collateral acceptable to the county council will be determined by the credit rating of the counterparty or exchange, along with credit </w:t>
      </w:r>
      <w:r w:rsidRPr="00834117">
        <w:t>default swap prices which react much quicker than credit rating agencies and can be used as early indicators of credit or liquidity problems.</w:t>
      </w:r>
    </w:p>
    <w:p w14:paraId="16D9B7B1" w14:textId="77777777" w:rsidR="00C742C9" w:rsidRPr="00834117" w:rsidRDefault="00C742C9" w:rsidP="00C742C9">
      <w:pPr>
        <w:jc w:val="both"/>
      </w:pPr>
    </w:p>
    <w:p w14:paraId="3968AF4F" w14:textId="77777777" w:rsidR="00C742C9" w:rsidRPr="00834117" w:rsidRDefault="00BC5B1D" w:rsidP="00C742C9">
      <w:pPr>
        <w:jc w:val="both"/>
      </w:pPr>
      <w:r w:rsidRPr="00834117">
        <w:t>The following table defines the appropriate limits for collateral quality:</w:t>
      </w:r>
    </w:p>
    <w:p w14:paraId="001A3169" w14:textId="77777777" w:rsidR="00C742C9" w:rsidRPr="00834117" w:rsidRDefault="00C742C9" w:rsidP="00C742C9">
      <w:pPr>
        <w:jc w:val="both"/>
      </w:pPr>
    </w:p>
    <w:tbl>
      <w:tblPr>
        <w:tblStyle w:val="TableGrid"/>
        <w:tblW w:w="0" w:type="auto"/>
        <w:tblLook w:val="04A0" w:firstRow="1" w:lastRow="0" w:firstColumn="1" w:lastColumn="0" w:noHBand="0" w:noVBand="1"/>
      </w:tblPr>
      <w:tblGrid>
        <w:gridCol w:w="1777"/>
        <w:gridCol w:w="1989"/>
        <w:gridCol w:w="1836"/>
        <w:gridCol w:w="1727"/>
        <w:gridCol w:w="1687"/>
      </w:tblGrid>
      <w:tr w:rsidR="00937FCD" w14:paraId="70F2158C" w14:textId="77777777" w:rsidTr="006D1274">
        <w:tc>
          <w:tcPr>
            <w:tcW w:w="1777" w:type="dxa"/>
          </w:tcPr>
          <w:p w14:paraId="07E6361B" w14:textId="77777777" w:rsidR="00C742C9" w:rsidRPr="00834117" w:rsidRDefault="00BC5B1D" w:rsidP="00C742C9">
            <w:pPr>
              <w:rPr>
                <w:b/>
                <w:sz w:val="22"/>
                <w:szCs w:val="22"/>
              </w:rPr>
            </w:pPr>
            <w:r w:rsidRPr="00834117">
              <w:rPr>
                <w:b/>
                <w:sz w:val="22"/>
                <w:szCs w:val="22"/>
              </w:rPr>
              <w:lastRenderedPageBreak/>
              <w:t>Counterparty type</w:t>
            </w:r>
          </w:p>
        </w:tc>
        <w:tc>
          <w:tcPr>
            <w:tcW w:w="1989" w:type="dxa"/>
          </w:tcPr>
          <w:p w14:paraId="25B65CB0" w14:textId="77777777" w:rsidR="00C742C9" w:rsidRPr="00834117" w:rsidRDefault="00BC5B1D" w:rsidP="00C742C9">
            <w:pPr>
              <w:rPr>
                <w:b/>
                <w:sz w:val="22"/>
                <w:szCs w:val="22"/>
              </w:rPr>
            </w:pPr>
            <w:r w:rsidRPr="00834117">
              <w:rPr>
                <w:b/>
                <w:sz w:val="22"/>
                <w:szCs w:val="22"/>
              </w:rPr>
              <w:t>Documentation</w:t>
            </w:r>
          </w:p>
        </w:tc>
        <w:tc>
          <w:tcPr>
            <w:tcW w:w="1836" w:type="dxa"/>
          </w:tcPr>
          <w:p w14:paraId="600E9A9A" w14:textId="77777777" w:rsidR="00C742C9" w:rsidRPr="00834117" w:rsidRDefault="00BC5B1D" w:rsidP="00C742C9">
            <w:pPr>
              <w:rPr>
                <w:b/>
                <w:sz w:val="22"/>
                <w:szCs w:val="22"/>
              </w:rPr>
            </w:pPr>
            <w:r w:rsidRPr="00834117">
              <w:rPr>
                <w:b/>
                <w:sz w:val="22"/>
                <w:szCs w:val="22"/>
              </w:rPr>
              <w:t>Colla</w:t>
            </w:r>
            <w:r w:rsidRPr="00834117">
              <w:rPr>
                <w:b/>
                <w:sz w:val="22"/>
                <w:szCs w:val="22"/>
              </w:rPr>
              <w:t>teral types</w:t>
            </w:r>
          </w:p>
        </w:tc>
        <w:tc>
          <w:tcPr>
            <w:tcW w:w="1727" w:type="dxa"/>
          </w:tcPr>
          <w:p w14:paraId="2B4DEC43" w14:textId="77777777" w:rsidR="00C742C9" w:rsidRPr="00834117" w:rsidRDefault="00BC5B1D" w:rsidP="00C742C9">
            <w:pPr>
              <w:rPr>
                <w:b/>
                <w:sz w:val="22"/>
                <w:szCs w:val="22"/>
              </w:rPr>
            </w:pPr>
            <w:bookmarkStart w:id="5" w:name="_Hlk93570500"/>
            <w:r w:rsidRPr="00834117">
              <w:rPr>
                <w:b/>
                <w:sz w:val="22"/>
                <w:szCs w:val="22"/>
              </w:rPr>
              <w:t>C</w:t>
            </w:r>
            <w:r w:rsidR="00CC531B">
              <w:rPr>
                <w:b/>
                <w:sz w:val="22"/>
                <w:szCs w:val="22"/>
              </w:rPr>
              <w:t xml:space="preserve">redit </w:t>
            </w:r>
            <w:r w:rsidRPr="00834117">
              <w:rPr>
                <w:b/>
                <w:sz w:val="22"/>
                <w:szCs w:val="22"/>
              </w:rPr>
              <w:t>D</w:t>
            </w:r>
            <w:r w:rsidR="00CC531B">
              <w:rPr>
                <w:b/>
                <w:sz w:val="22"/>
                <w:szCs w:val="22"/>
              </w:rPr>
              <w:t xml:space="preserve">efault </w:t>
            </w:r>
            <w:r w:rsidRPr="00834117">
              <w:rPr>
                <w:b/>
                <w:sz w:val="22"/>
                <w:szCs w:val="22"/>
              </w:rPr>
              <w:t>S</w:t>
            </w:r>
            <w:r w:rsidR="00CC531B">
              <w:rPr>
                <w:b/>
                <w:sz w:val="22"/>
                <w:szCs w:val="22"/>
              </w:rPr>
              <w:t xml:space="preserve">wap </w:t>
            </w:r>
            <w:r w:rsidRPr="00834117">
              <w:rPr>
                <w:b/>
                <w:sz w:val="22"/>
                <w:szCs w:val="22"/>
              </w:rPr>
              <w:t>levels</w:t>
            </w:r>
            <w:bookmarkEnd w:id="5"/>
          </w:p>
        </w:tc>
        <w:tc>
          <w:tcPr>
            <w:tcW w:w="1687" w:type="dxa"/>
          </w:tcPr>
          <w:p w14:paraId="676D8E1E" w14:textId="77777777" w:rsidR="00C742C9" w:rsidRPr="00834117" w:rsidRDefault="00BC5B1D" w:rsidP="00C742C9">
            <w:pPr>
              <w:rPr>
                <w:b/>
                <w:sz w:val="22"/>
                <w:szCs w:val="22"/>
              </w:rPr>
            </w:pPr>
            <w:r w:rsidRPr="00834117">
              <w:rPr>
                <w:b/>
                <w:sz w:val="22"/>
                <w:szCs w:val="22"/>
              </w:rPr>
              <w:t>Rating</w:t>
            </w:r>
          </w:p>
        </w:tc>
      </w:tr>
      <w:tr w:rsidR="00937FCD" w14:paraId="759AB8B5" w14:textId="77777777" w:rsidTr="006D1274">
        <w:tc>
          <w:tcPr>
            <w:tcW w:w="1777" w:type="dxa"/>
          </w:tcPr>
          <w:p w14:paraId="12319758" w14:textId="77777777" w:rsidR="00C742C9" w:rsidRPr="00834117" w:rsidRDefault="00BC5B1D" w:rsidP="00C742C9">
            <w:pPr>
              <w:rPr>
                <w:sz w:val="22"/>
                <w:szCs w:val="22"/>
              </w:rPr>
            </w:pPr>
            <w:r w:rsidRPr="00834117">
              <w:rPr>
                <w:sz w:val="22"/>
                <w:szCs w:val="22"/>
              </w:rPr>
              <w:t>Exchange</w:t>
            </w:r>
          </w:p>
        </w:tc>
        <w:tc>
          <w:tcPr>
            <w:tcW w:w="1989" w:type="dxa"/>
          </w:tcPr>
          <w:p w14:paraId="1387CBA3" w14:textId="77777777" w:rsidR="00C742C9" w:rsidRPr="00834117" w:rsidRDefault="00BC5B1D" w:rsidP="00C742C9">
            <w:pPr>
              <w:rPr>
                <w:sz w:val="22"/>
                <w:szCs w:val="22"/>
              </w:rPr>
            </w:pPr>
            <w:r w:rsidRPr="00834117">
              <w:rPr>
                <w:sz w:val="22"/>
                <w:szCs w:val="22"/>
              </w:rPr>
              <w:t>MIFCA</w:t>
            </w:r>
          </w:p>
        </w:tc>
        <w:tc>
          <w:tcPr>
            <w:tcW w:w="1836" w:type="dxa"/>
          </w:tcPr>
          <w:p w14:paraId="5B9BD653" w14:textId="77777777" w:rsidR="00C742C9" w:rsidRPr="00834117" w:rsidRDefault="00BC5B1D" w:rsidP="00C742C9">
            <w:pPr>
              <w:rPr>
                <w:sz w:val="22"/>
                <w:szCs w:val="22"/>
              </w:rPr>
            </w:pPr>
            <w:r w:rsidRPr="00834117">
              <w:rPr>
                <w:sz w:val="22"/>
                <w:szCs w:val="22"/>
              </w:rPr>
              <w:t>Cash margins</w:t>
            </w:r>
          </w:p>
        </w:tc>
        <w:tc>
          <w:tcPr>
            <w:tcW w:w="1727" w:type="dxa"/>
          </w:tcPr>
          <w:p w14:paraId="047A0B24" w14:textId="77777777" w:rsidR="00C742C9" w:rsidRPr="00834117" w:rsidRDefault="00BC5B1D" w:rsidP="00C742C9">
            <w:pPr>
              <w:rPr>
                <w:sz w:val="22"/>
                <w:szCs w:val="22"/>
              </w:rPr>
            </w:pPr>
            <w:r w:rsidRPr="00834117">
              <w:rPr>
                <w:sz w:val="22"/>
                <w:szCs w:val="22"/>
              </w:rPr>
              <w:t>&lt;75bp</w:t>
            </w:r>
          </w:p>
        </w:tc>
        <w:tc>
          <w:tcPr>
            <w:tcW w:w="1687" w:type="dxa"/>
          </w:tcPr>
          <w:p w14:paraId="590A2783" w14:textId="77777777" w:rsidR="00C742C9" w:rsidRPr="00834117" w:rsidRDefault="00BC5B1D" w:rsidP="00C742C9">
            <w:pPr>
              <w:rPr>
                <w:sz w:val="22"/>
                <w:szCs w:val="22"/>
              </w:rPr>
            </w:pPr>
            <w:r w:rsidRPr="00834117">
              <w:rPr>
                <w:sz w:val="22"/>
                <w:szCs w:val="22"/>
              </w:rPr>
              <w:t>AA</w:t>
            </w:r>
          </w:p>
        </w:tc>
      </w:tr>
      <w:tr w:rsidR="00937FCD" w14:paraId="4B585D49" w14:textId="77777777" w:rsidTr="006D1274">
        <w:tc>
          <w:tcPr>
            <w:tcW w:w="1777" w:type="dxa"/>
          </w:tcPr>
          <w:p w14:paraId="4BACFC14" w14:textId="77777777" w:rsidR="00C742C9" w:rsidRPr="00834117" w:rsidRDefault="00BC5B1D" w:rsidP="00C742C9">
            <w:pPr>
              <w:rPr>
                <w:sz w:val="22"/>
                <w:szCs w:val="22"/>
              </w:rPr>
            </w:pPr>
            <w:r w:rsidRPr="00834117">
              <w:rPr>
                <w:sz w:val="22"/>
                <w:szCs w:val="22"/>
              </w:rPr>
              <w:t>Bank</w:t>
            </w:r>
          </w:p>
        </w:tc>
        <w:tc>
          <w:tcPr>
            <w:tcW w:w="1989" w:type="dxa"/>
          </w:tcPr>
          <w:p w14:paraId="464F5CB6" w14:textId="77777777" w:rsidR="00C742C9" w:rsidRPr="00834117" w:rsidRDefault="00BC5B1D" w:rsidP="00C742C9">
            <w:pPr>
              <w:rPr>
                <w:sz w:val="22"/>
                <w:szCs w:val="22"/>
              </w:rPr>
            </w:pPr>
            <w:r w:rsidRPr="00834117">
              <w:rPr>
                <w:sz w:val="22"/>
                <w:szCs w:val="22"/>
              </w:rPr>
              <w:t xml:space="preserve">International Swaps and Derivatives Association/Credit Support Annex </w:t>
            </w:r>
          </w:p>
        </w:tc>
        <w:tc>
          <w:tcPr>
            <w:tcW w:w="1836" w:type="dxa"/>
          </w:tcPr>
          <w:p w14:paraId="6DA49CF6" w14:textId="77777777" w:rsidR="00C742C9" w:rsidRPr="00834117" w:rsidRDefault="00BC5B1D" w:rsidP="00C742C9">
            <w:pPr>
              <w:rPr>
                <w:sz w:val="22"/>
                <w:szCs w:val="22"/>
              </w:rPr>
            </w:pPr>
            <w:r w:rsidRPr="00834117">
              <w:rPr>
                <w:sz w:val="22"/>
                <w:szCs w:val="22"/>
              </w:rPr>
              <w:t>Cash and Government bonds</w:t>
            </w:r>
          </w:p>
        </w:tc>
        <w:tc>
          <w:tcPr>
            <w:tcW w:w="1727" w:type="dxa"/>
          </w:tcPr>
          <w:p w14:paraId="5F268A51" w14:textId="77777777" w:rsidR="00C742C9" w:rsidRPr="00834117" w:rsidRDefault="00BC5B1D" w:rsidP="00C742C9">
            <w:pPr>
              <w:rPr>
                <w:sz w:val="22"/>
                <w:szCs w:val="22"/>
              </w:rPr>
            </w:pPr>
            <w:r w:rsidRPr="00834117">
              <w:rPr>
                <w:sz w:val="22"/>
                <w:szCs w:val="22"/>
              </w:rPr>
              <w:t>&lt;100bp</w:t>
            </w:r>
          </w:p>
        </w:tc>
        <w:tc>
          <w:tcPr>
            <w:tcW w:w="1687" w:type="dxa"/>
          </w:tcPr>
          <w:p w14:paraId="6495367E" w14:textId="77777777" w:rsidR="00C742C9" w:rsidRPr="00834117" w:rsidRDefault="00BC5B1D" w:rsidP="00C742C9">
            <w:pPr>
              <w:rPr>
                <w:sz w:val="22"/>
                <w:szCs w:val="22"/>
              </w:rPr>
            </w:pPr>
            <w:r w:rsidRPr="00834117">
              <w:rPr>
                <w:sz w:val="22"/>
                <w:szCs w:val="22"/>
              </w:rPr>
              <w:t>A3</w:t>
            </w:r>
          </w:p>
        </w:tc>
      </w:tr>
      <w:tr w:rsidR="00937FCD" w14:paraId="09CD2026" w14:textId="77777777" w:rsidTr="006D1274">
        <w:tc>
          <w:tcPr>
            <w:tcW w:w="1777" w:type="dxa"/>
          </w:tcPr>
          <w:p w14:paraId="17FF875F" w14:textId="77777777" w:rsidR="00C742C9" w:rsidRPr="00834117" w:rsidRDefault="00BC5B1D" w:rsidP="00C742C9">
            <w:pPr>
              <w:rPr>
                <w:sz w:val="22"/>
                <w:szCs w:val="22"/>
              </w:rPr>
            </w:pPr>
            <w:r w:rsidRPr="00834117">
              <w:rPr>
                <w:sz w:val="22"/>
                <w:szCs w:val="22"/>
              </w:rPr>
              <w:t>Insurer and Pension Fund</w:t>
            </w:r>
          </w:p>
        </w:tc>
        <w:tc>
          <w:tcPr>
            <w:tcW w:w="1989" w:type="dxa"/>
          </w:tcPr>
          <w:p w14:paraId="40F916C9" w14:textId="77777777" w:rsidR="00C742C9" w:rsidRPr="00834117" w:rsidRDefault="00BC5B1D" w:rsidP="006B337B">
            <w:pPr>
              <w:rPr>
                <w:sz w:val="22"/>
                <w:szCs w:val="22"/>
              </w:rPr>
            </w:pPr>
            <w:r w:rsidRPr="00834117">
              <w:rPr>
                <w:sz w:val="22"/>
                <w:szCs w:val="22"/>
              </w:rPr>
              <w:t xml:space="preserve">International Swaps and </w:t>
            </w:r>
            <w:r w:rsidRPr="00834117">
              <w:rPr>
                <w:sz w:val="22"/>
                <w:szCs w:val="22"/>
              </w:rPr>
              <w:t>Derivatives Association/ Credit Support Annex</w:t>
            </w:r>
          </w:p>
        </w:tc>
        <w:tc>
          <w:tcPr>
            <w:tcW w:w="1836" w:type="dxa"/>
          </w:tcPr>
          <w:p w14:paraId="2EEBFD9A" w14:textId="77777777" w:rsidR="00C742C9" w:rsidRPr="00834117" w:rsidRDefault="00BC5B1D" w:rsidP="00C742C9">
            <w:pPr>
              <w:rPr>
                <w:sz w:val="22"/>
                <w:szCs w:val="22"/>
              </w:rPr>
            </w:pPr>
            <w:r w:rsidRPr="00834117">
              <w:rPr>
                <w:sz w:val="22"/>
                <w:szCs w:val="22"/>
              </w:rPr>
              <w:t>Cash and Government bonds</w:t>
            </w:r>
          </w:p>
        </w:tc>
        <w:tc>
          <w:tcPr>
            <w:tcW w:w="1727" w:type="dxa"/>
          </w:tcPr>
          <w:p w14:paraId="2E6CDBF5" w14:textId="77777777" w:rsidR="00C742C9" w:rsidRPr="00834117" w:rsidRDefault="00BC5B1D" w:rsidP="00C742C9">
            <w:pPr>
              <w:rPr>
                <w:sz w:val="22"/>
                <w:szCs w:val="22"/>
              </w:rPr>
            </w:pPr>
            <w:r w:rsidRPr="00834117">
              <w:rPr>
                <w:sz w:val="22"/>
                <w:szCs w:val="22"/>
              </w:rPr>
              <w:t>&lt;100 (Insurers)</w:t>
            </w:r>
          </w:p>
        </w:tc>
        <w:tc>
          <w:tcPr>
            <w:tcW w:w="1687" w:type="dxa"/>
          </w:tcPr>
          <w:p w14:paraId="213F05C5" w14:textId="77777777" w:rsidR="00C742C9" w:rsidRPr="00834117" w:rsidRDefault="00BC5B1D" w:rsidP="00C742C9">
            <w:pPr>
              <w:rPr>
                <w:sz w:val="22"/>
                <w:szCs w:val="22"/>
              </w:rPr>
            </w:pPr>
            <w:r w:rsidRPr="00834117">
              <w:rPr>
                <w:sz w:val="22"/>
                <w:szCs w:val="22"/>
              </w:rPr>
              <w:t>A3 (Insurers)</w:t>
            </w:r>
          </w:p>
        </w:tc>
      </w:tr>
      <w:tr w:rsidR="00937FCD" w14:paraId="09A260E3" w14:textId="77777777" w:rsidTr="006D1274">
        <w:tc>
          <w:tcPr>
            <w:tcW w:w="1777" w:type="dxa"/>
          </w:tcPr>
          <w:p w14:paraId="1D571385" w14:textId="77777777" w:rsidR="00C742C9" w:rsidRPr="00834117" w:rsidRDefault="00BC5B1D" w:rsidP="00C742C9">
            <w:pPr>
              <w:rPr>
                <w:sz w:val="22"/>
                <w:szCs w:val="22"/>
              </w:rPr>
            </w:pPr>
            <w:r w:rsidRPr="00834117">
              <w:rPr>
                <w:sz w:val="22"/>
                <w:szCs w:val="22"/>
              </w:rPr>
              <w:t>Local Authority</w:t>
            </w:r>
          </w:p>
        </w:tc>
        <w:tc>
          <w:tcPr>
            <w:tcW w:w="1989" w:type="dxa"/>
          </w:tcPr>
          <w:p w14:paraId="30949442" w14:textId="77777777" w:rsidR="00C742C9" w:rsidRPr="00834117" w:rsidRDefault="00BC5B1D" w:rsidP="00C742C9">
            <w:pPr>
              <w:rPr>
                <w:sz w:val="22"/>
                <w:szCs w:val="22"/>
              </w:rPr>
            </w:pPr>
            <w:r w:rsidRPr="00834117">
              <w:rPr>
                <w:sz w:val="22"/>
                <w:szCs w:val="22"/>
              </w:rPr>
              <w:t>Contract</w:t>
            </w:r>
          </w:p>
        </w:tc>
        <w:tc>
          <w:tcPr>
            <w:tcW w:w="1836" w:type="dxa"/>
          </w:tcPr>
          <w:p w14:paraId="4F0871A1" w14:textId="77777777" w:rsidR="00C742C9" w:rsidRPr="00834117" w:rsidRDefault="00BC5B1D" w:rsidP="00C742C9">
            <w:pPr>
              <w:rPr>
                <w:sz w:val="22"/>
                <w:szCs w:val="22"/>
              </w:rPr>
            </w:pPr>
            <w:r w:rsidRPr="00834117">
              <w:rPr>
                <w:sz w:val="22"/>
                <w:szCs w:val="22"/>
              </w:rPr>
              <w:t>Cash and Government bonds</w:t>
            </w:r>
          </w:p>
        </w:tc>
        <w:tc>
          <w:tcPr>
            <w:tcW w:w="1727" w:type="dxa"/>
          </w:tcPr>
          <w:p w14:paraId="11FC1C89" w14:textId="77777777" w:rsidR="00C742C9" w:rsidRPr="00834117" w:rsidRDefault="00BC5B1D" w:rsidP="00C742C9">
            <w:pPr>
              <w:rPr>
                <w:sz w:val="22"/>
                <w:szCs w:val="22"/>
              </w:rPr>
            </w:pPr>
            <w:r w:rsidRPr="00834117">
              <w:rPr>
                <w:sz w:val="22"/>
                <w:szCs w:val="22"/>
              </w:rPr>
              <w:t>England/Wales None</w:t>
            </w:r>
          </w:p>
        </w:tc>
        <w:tc>
          <w:tcPr>
            <w:tcW w:w="1687" w:type="dxa"/>
          </w:tcPr>
          <w:p w14:paraId="0FDF6E97" w14:textId="77777777" w:rsidR="00C742C9" w:rsidRPr="00834117" w:rsidRDefault="00BC5B1D" w:rsidP="00C742C9">
            <w:pPr>
              <w:rPr>
                <w:sz w:val="22"/>
                <w:szCs w:val="22"/>
              </w:rPr>
            </w:pPr>
            <w:r w:rsidRPr="00834117">
              <w:rPr>
                <w:sz w:val="22"/>
                <w:szCs w:val="22"/>
              </w:rPr>
              <w:t>England and Wales None</w:t>
            </w:r>
          </w:p>
        </w:tc>
      </w:tr>
    </w:tbl>
    <w:p w14:paraId="356BA9A0" w14:textId="77777777" w:rsidR="00C742C9" w:rsidRPr="00834117" w:rsidRDefault="00C742C9" w:rsidP="00C742C9">
      <w:pPr>
        <w:jc w:val="both"/>
      </w:pPr>
    </w:p>
    <w:p w14:paraId="7E572BB3" w14:textId="77777777" w:rsidR="00C742C9" w:rsidRPr="00834117" w:rsidRDefault="00BC5B1D" w:rsidP="00C742C9">
      <w:pPr>
        <w:jc w:val="both"/>
      </w:pPr>
      <w:r w:rsidRPr="00834117">
        <w:t xml:space="preserve">The council will only use derivative contracts to hedge existing risks. This is reflected in the limits below. The 100% upper limit means that the council has the option to hedge all of, but not more than, its interest rate risk if felt appropriate.  </w:t>
      </w:r>
    </w:p>
    <w:p w14:paraId="7134644A" w14:textId="77777777" w:rsidR="00717E3A" w:rsidRPr="00834117" w:rsidRDefault="00717E3A" w:rsidP="00C742C9">
      <w:pPr>
        <w:jc w:val="both"/>
      </w:pPr>
    </w:p>
    <w:tbl>
      <w:tblPr>
        <w:tblStyle w:val="TableGrid"/>
        <w:tblW w:w="9067" w:type="dxa"/>
        <w:tblLook w:val="04A0" w:firstRow="1" w:lastRow="0" w:firstColumn="1" w:lastColumn="0" w:noHBand="0" w:noVBand="1"/>
      </w:tblPr>
      <w:tblGrid>
        <w:gridCol w:w="1820"/>
        <w:gridCol w:w="1742"/>
        <w:gridCol w:w="1536"/>
        <w:gridCol w:w="2127"/>
        <w:gridCol w:w="1842"/>
      </w:tblGrid>
      <w:tr w:rsidR="00937FCD" w14:paraId="53D359BA" w14:textId="77777777" w:rsidTr="00C742C9">
        <w:tc>
          <w:tcPr>
            <w:tcW w:w="1820" w:type="dxa"/>
          </w:tcPr>
          <w:p w14:paraId="01F86B3D" w14:textId="77777777" w:rsidR="00C742C9" w:rsidRPr="00834117" w:rsidRDefault="00BC5B1D" w:rsidP="00C742C9">
            <w:pPr>
              <w:jc w:val="both"/>
              <w:rPr>
                <w:b/>
                <w:sz w:val="22"/>
                <w:szCs w:val="22"/>
              </w:rPr>
            </w:pPr>
            <w:r w:rsidRPr="00834117">
              <w:rPr>
                <w:b/>
                <w:sz w:val="22"/>
                <w:szCs w:val="22"/>
              </w:rPr>
              <w:t>Exp</w:t>
            </w:r>
            <w:r w:rsidRPr="00834117">
              <w:rPr>
                <w:b/>
                <w:sz w:val="22"/>
                <w:szCs w:val="22"/>
              </w:rPr>
              <w:t>osure Metric</w:t>
            </w:r>
          </w:p>
        </w:tc>
        <w:tc>
          <w:tcPr>
            <w:tcW w:w="1742" w:type="dxa"/>
          </w:tcPr>
          <w:p w14:paraId="3236BC7B" w14:textId="77777777" w:rsidR="00C742C9" w:rsidRPr="00834117" w:rsidRDefault="00BC5B1D" w:rsidP="00C742C9">
            <w:pPr>
              <w:jc w:val="both"/>
              <w:rPr>
                <w:b/>
                <w:sz w:val="22"/>
                <w:szCs w:val="22"/>
              </w:rPr>
            </w:pPr>
            <w:r w:rsidRPr="00834117">
              <w:rPr>
                <w:b/>
                <w:sz w:val="22"/>
                <w:szCs w:val="22"/>
              </w:rPr>
              <w:t>Min Hedge</w:t>
            </w:r>
          </w:p>
        </w:tc>
        <w:tc>
          <w:tcPr>
            <w:tcW w:w="1536" w:type="dxa"/>
          </w:tcPr>
          <w:p w14:paraId="78E992CC" w14:textId="77777777" w:rsidR="00C742C9" w:rsidRPr="00834117" w:rsidRDefault="00BC5B1D" w:rsidP="00C742C9">
            <w:pPr>
              <w:jc w:val="both"/>
              <w:rPr>
                <w:b/>
                <w:sz w:val="22"/>
                <w:szCs w:val="22"/>
              </w:rPr>
            </w:pPr>
            <w:r w:rsidRPr="00834117">
              <w:rPr>
                <w:b/>
                <w:sz w:val="22"/>
                <w:szCs w:val="22"/>
              </w:rPr>
              <w:t>Max Hedge</w:t>
            </w:r>
          </w:p>
        </w:tc>
        <w:tc>
          <w:tcPr>
            <w:tcW w:w="2127" w:type="dxa"/>
          </w:tcPr>
          <w:p w14:paraId="33B1A455" w14:textId="77777777" w:rsidR="00C742C9" w:rsidRPr="00834117" w:rsidRDefault="00BC5B1D" w:rsidP="00C742C9">
            <w:pPr>
              <w:jc w:val="both"/>
              <w:rPr>
                <w:b/>
                <w:sz w:val="22"/>
                <w:szCs w:val="22"/>
              </w:rPr>
            </w:pPr>
            <w:r w:rsidRPr="00834117">
              <w:rPr>
                <w:b/>
                <w:sz w:val="22"/>
                <w:szCs w:val="22"/>
              </w:rPr>
              <w:t>Granularity</w:t>
            </w:r>
          </w:p>
        </w:tc>
        <w:tc>
          <w:tcPr>
            <w:tcW w:w="1842" w:type="dxa"/>
          </w:tcPr>
          <w:p w14:paraId="40FA0D0C" w14:textId="77777777" w:rsidR="00C742C9" w:rsidRPr="00834117" w:rsidRDefault="00BC5B1D" w:rsidP="00C742C9">
            <w:pPr>
              <w:jc w:val="both"/>
              <w:rPr>
                <w:b/>
                <w:sz w:val="22"/>
                <w:szCs w:val="22"/>
              </w:rPr>
            </w:pPr>
            <w:r w:rsidRPr="00834117">
              <w:rPr>
                <w:b/>
                <w:sz w:val="22"/>
                <w:szCs w:val="22"/>
              </w:rPr>
              <w:t>Tool</w:t>
            </w:r>
          </w:p>
        </w:tc>
      </w:tr>
      <w:tr w:rsidR="00937FCD" w14:paraId="3FD08E26" w14:textId="77777777" w:rsidTr="00C742C9">
        <w:tc>
          <w:tcPr>
            <w:tcW w:w="1820" w:type="dxa"/>
          </w:tcPr>
          <w:p w14:paraId="6E2622A3" w14:textId="77777777" w:rsidR="00C742C9" w:rsidRPr="00834117" w:rsidRDefault="00BC5B1D" w:rsidP="00C742C9">
            <w:pPr>
              <w:jc w:val="both"/>
              <w:rPr>
                <w:sz w:val="22"/>
                <w:szCs w:val="22"/>
              </w:rPr>
            </w:pPr>
            <w:r w:rsidRPr="00834117">
              <w:rPr>
                <w:sz w:val="22"/>
                <w:szCs w:val="22"/>
              </w:rPr>
              <w:t xml:space="preserve">Interest rate </w:t>
            </w:r>
          </w:p>
          <w:p w14:paraId="480BC0E6" w14:textId="77777777" w:rsidR="00C742C9" w:rsidRPr="00834117" w:rsidRDefault="00C742C9" w:rsidP="00C742C9">
            <w:pPr>
              <w:jc w:val="both"/>
              <w:rPr>
                <w:sz w:val="22"/>
                <w:szCs w:val="22"/>
              </w:rPr>
            </w:pPr>
          </w:p>
        </w:tc>
        <w:tc>
          <w:tcPr>
            <w:tcW w:w="1742" w:type="dxa"/>
          </w:tcPr>
          <w:p w14:paraId="05F410CC" w14:textId="77777777" w:rsidR="00C742C9" w:rsidRPr="00834117" w:rsidRDefault="00BC5B1D" w:rsidP="00C742C9">
            <w:pPr>
              <w:jc w:val="center"/>
              <w:rPr>
                <w:sz w:val="22"/>
                <w:szCs w:val="22"/>
              </w:rPr>
            </w:pPr>
            <w:r w:rsidRPr="00834117">
              <w:rPr>
                <w:sz w:val="22"/>
                <w:szCs w:val="22"/>
              </w:rPr>
              <w:t>0%</w:t>
            </w:r>
          </w:p>
        </w:tc>
        <w:tc>
          <w:tcPr>
            <w:tcW w:w="1536" w:type="dxa"/>
          </w:tcPr>
          <w:p w14:paraId="7F352265" w14:textId="77777777" w:rsidR="00C742C9" w:rsidRPr="00834117" w:rsidRDefault="00BC5B1D" w:rsidP="00C742C9">
            <w:pPr>
              <w:jc w:val="center"/>
              <w:rPr>
                <w:sz w:val="22"/>
                <w:szCs w:val="22"/>
              </w:rPr>
            </w:pPr>
            <w:r w:rsidRPr="00834117">
              <w:rPr>
                <w:sz w:val="22"/>
                <w:szCs w:val="22"/>
              </w:rPr>
              <w:t>100%</w:t>
            </w:r>
          </w:p>
        </w:tc>
        <w:tc>
          <w:tcPr>
            <w:tcW w:w="2127" w:type="dxa"/>
          </w:tcPr>
          <w:p w14:paraId="3475770D" w14:textId="77777777" w:rsidR="00C742C9" w:rsidRPr="00834117" w:rsidRDefault="00BC5B1D" w:rsidP="00C742C9">
            <w:pPr>
              <w:rPr>
                <w:sz w:val="22"/>
                <w:szCs w:val="22"/>
              </w:rPr>
            </w:pPr>
            <w:r w:rsidRPr="00834117">
              <w:rPr>
                <w:sz w:val="22"/>
                <w:szCs w:val="22"/>
              </w:rPr>
              <w:t>0-3 months 3-6 months, 6-12m months, 1 to 2 years, 2-5 years and 5 year blocks</w:t>
            </w:r>
          </w:p>
        </w:tc>
        <w:tc>
          <w:tcPr>
            <w:tcW w:w="1842" w:type="dxa"/>
          </w:tcPr>
          <w:p w14:paraId="1964F907" w14:textId="77777777" w:rsidR="00C742C9" w:rsidRPr="00834117" w:rsidRDefault="00BC5B1D" w:rsidP="00C742C9">
            <w:pPr>
              <w:rPr>
                <w:sz w:val="22"/>
                <w:szCs w:val="22"/>
              </w:rPr>
            </w:pPr>
            <w:r w:rsidRPr="00834117">
              <w:rPr>
                <w:sz w:val="22"/>
                <w:szCs w:val="22"/>
              </w:rPr>
              <w:t>Forward rate agreements, Futures, Options, Swaps</w:t>
            </w:r>
          </w:p>
          <w:p w14:paraId="51B24A13" w14:textId="77777777" w:rsidR="00C742C9" w:rsidRPr="00834117" w:rsidRDefault="00BC5B1D" w:rsidP="00C742C9">
            <w:pPr>
              <w:rPr>
                <w:sz w:val="22"/>
                <w:szCs w:val="22"/>
              </w:rPr>
            </w:pPr>
            <w:r w:rsidRPr="00834117">
              <w:rPr>
                <w:sz w:val="22"/>
                <w:szCs w:val="22"/>
              </w:rPr>
              <w:t>Swaption</w:t>
            </w:r>
          </w:p>
        </w:tc>
      </w:tr>
      <w:tr w:rsidR="00937FCD" w14:paraId="738F91C1" w14:textId="77777777" w:rsidTr="00C742C9">
        <w:tc>
          <w:tcPr>
            <w:tcW w:w="1820" w:type="dxa"/>
          </w:tcPr>
          <w:p w14:paraId="3EEA1A14" w14:textId="77777777" w:rsidR="00C742C9" w:rsidRPr="00834117" w:rsidRDefault="00BC5B1D" w:rsidP="00C742C9">
            <w:pPr>
              <w:jc w:val="both"/>
              <w:rPr>
                <w:sz w:val="22"/>
                <w:szCs w:val="22"/>
              </w:rPr>
            </w:pPr>
            <w:r w:rsidRPr="00834117">
              <w:rPr>
                <w:sz w:val="22"/>
                <w:szCs w:val="22"/>
              </w:rPr>
              <w:t>Inflation rate</w:t>
            </w:r>
          </w:p>
          <w:p w14:paraId="35F735AD" w14:textId="77777777" w:rsidR="00C742C9" w:rsidRPr="00834117" w:rsidRDefault="00C742C9" w:rsidP="00C742C9">
            <w:pPr>
              <w:jc w:val="both"/>
              <w:rPr>
                <w:sz w:val="22"/>
                <w:szCs w:val="22"/>
              </w:rPr>
            </w:pPr>
          </w:p>
        </w:tc>
        <w:tc>
          <w:tcPr>
            <w:tcW w:w="1742" w:type="dxa"/>
          </w:tcPr>
          <w:p w14:paraId="67D30177" w14:textId="77777777" w:rsidR="00C742C9" w:rsidRPr="00834117" w:rsidRDefault="00BC5B1D" w:rsidP="00C742C9">
            <w:pPr>
              <w:jc w:val="center"/>
              <w:rPr>
                <w:sz w:val="22"/>
                <w:szCs w:val="22"/>
              </w:rPr>
            </w:pPr>
            <w:r w:rsidRPr="00834117">
              <w:rPr>
                <w:sz w:val="22"/>
                <w:szCs w:val="22"/>
              </w:rPr>
              <w:t>0%</w:t>
            </w:r>
          </w:p>
        </w:tc>
        <w:tc>
          <w:tcPr>
            <w:tcW w:w="1536" w:type="dxa"/>
          </w:tcPr>
          <w:p w14:paraId="24EC2758" w14:textId="77777777" w:rsidR="00C742C9" w:rsidRPr="00834117" w:rsidRDefault="00BC5B1D" w:rsidP="00C742C9">
            <w:pPr>
              <w:jc w:val="center"/>
              <w:rPr>
                <w:sz w:val="22"/>
                <w:szCs w:val="22"/>
              </w:rPr>
            </w:pPr>
            <w:r w:rsidRPr="00834117">
              <w:rPr>
                <w:sz w:val="22"/>
                <w:szCs w:val="22"/>
              </w:rPr>
              <w:t>100%</w:t>
            </w:r>
          </w:p>
        </w:tc>
        <w:tc>
          <w:tcPr>
            <w:tcW w:w="2127" w:type="dxa"/>
          </w:tcPr>
          <w:p w14:paraId="12AE3124" w14:textId="77777777" w:rsidR="00C742C9" w:rsidRPr="00834117" w:rsidRDefault="00BC5B1D" w:rsidP="00C742C9">
            <w:pPr>
              <w:rPr>
                <w:sz w:val="22"/>
                <w:szCs w:val="22"/>
              </w:rPr>
            </w:pPr>
            <w:r w:rsidRPr="00834117">
              <w:rPr>
                <w:sz w:val="22"/>
                <w:szCs w:val="22"/>
              </w:rPr>
              <w:t>1 to 2 years, 2-5 years and 5+ years blocks</w:t>
            </w:r>
          </w:p>
        </w:tc>
        <w:tc>
          <w:tcPr>
            <w:tcW w:w="1842" w:type="dxa"/>
          </w:tcPr>
          <w:p w14:paraId="3F9FE135" w14:textId="77777777" w:rsidR="00C742C9" w:rsidRPr="00834117" w:rsidRDefault="00BC5B1D" w:rsidP="00C742C9">
            <w:pPr>
              <w:rPr>
                <w:sz w:val="22"/>
                <w:szCs w:val="22"/>
              </w:rPr>
            </w:pPr>
            <w:r w:rsidRPr="00834117">
              <w:rPr>
                <w:sz w:val="22"/>
                <w:szCs w:val="22"/>
              </w:rPr>
              <w:t>Swap, Swaption, Option</w:t>
            </w:r>
          </w:p>
        </w:tc>
      </w:tr>
    </w:tbl>
    <w:p w14:paraId="65D7A1B5" w14:textId="77777777" w:rsidR="00717E3A" w:rsidRDefault="00717E3A" w:rsidP="00C742C9">
      <w:pPr>
        <w:jc w:val="both"/>
        <w:rPr>
          <w:highlight w:val="green"/>
        </w:rPr>
      </w:pPr>
    </w:p>
    <w:p w14:paraId="1C637BB1" w14:textId="77777777" w:rsidR="00834117" w:rsidRDefault="00BC5B1D" w:rsidP="00C742C9">
      <w:pPr>
        <w:jc w:val="both"/>
        <w:rPr>
          <w:highlight w:val="green"/>
        </w:rPr>
      </w:pPr>
      <w:r>
        <w:t>The council is</w:t>
      </w:r>
      <w:r w:rsidRPr="00834117">
        <w:t xml:space="preserve"> now able to transact in Exchange Traded Futures and Options. have opened a Derivative Clearing Account with Royal Bank of Canada. The specific instruments appropriate for </w:t>
      </w:r>
      <w:r>
        <w:t>the council's treasury management</w:t>
      </w:r>
      <w:r w:rsidRPr="00834117">
        <w:t xml:space="preserve"> are 3</w:t>
      </w:r>
      <w:r w:rsidR="0097530F">
        <w:t>-</w:t>
      </w:r>
      <w:r w:rsidRPr="00834117">
        <w:t>m</w:t>
      </w:r>
      <w:r>
        <w:t>on</w:t>
      </w:r>
      <w:r w:rsidRPr="00834117">
        <w:t>th Sonia Futures and options (Sonia is th</w:t>
      </w:r>
      <w:r w:rsidRPr="00834117">
        <w:t>e replacement for Sterling Libor 3</w:t>
      </w:r>
      <w:r w:rsidR="0097530F">
        <w:t>-</w:t>
      </w:r>
      <w:r w:rsidRPr="00834117">
        <w:t>m</w:t>
      </w:r>
      <w:r>
        <w:t>on</w:t>
      </w:r>
      <w:r w:rsidRPr="00834117">
        <w:t xml:space="preserve">th interest rate index). These instruments allow the mitigation of the effects of interest rate shocks out to 5yrs maturity. Having analysed the risk profile of </w:t>
      </w:r>
      <w:r>
        <w:t>the council treasury management</w:t>
      </w:r>
      <w:r w:rsidRPr="00834117">
        <w:t xml:space="preserve"> it was considered appropr</w:t>
      </w:r>
      <w:r w:rsidRPr="00834117">
        <w:t xml:space="preserve">iate only to establish positions to mitigate “unusual risk” in any specific period rather than the more regular risks. Effectively </w:t>
      </w:r>
      <w:r>
        <w:t>the council</w:t>
      </w:r>
      <w:r w:rsidRPr="00834117">
        <w:t xml:space="preserve"> will look, where appropriate, to “insure” against specific risk for a specific upfront premium. (Technically, ins</w:t>
      </w:r>
      <w:r w:rsidRPr="00834117">
        <w:t>uring against events more than 1.5 Standard Deviations away from the median expected outcome at each maturity.)</w:t>
      </w:r>
    </w:p>
    <w:p w14:paraId="2F8CEE19" w14:textId="77777777" w:rsidR="00834117" w:rsidRDefault="00834117" w:rsidP="00C742C9">
      <w:pPr>
        <w:jc w:val="both"/>
        <w:rPr>
          <w:highlight w:val="green"/>
        </w:rPr>
      </w:pPr>
    </w:p>
    <w:p w14:paraId="4C9702C8" w14:textId="77777777" w:rsidR="00834117" w:rsidRDefault="00BC5B1D" w:rsidP="00C742C9">
      <w:pPr>
        <w:jc w:val="both"/>
        <w:rPr>
          <w:highlight w:val="green"/>
        </w:rPr>
      </w:pPr>
      <w:r w:rsidRPr="00834117">
        <w:t xml:space="preserve">Where appropriate and if advised necessary by </w:t>
      </w:r>
      <w:r w:rsidR="006D6C02">
        <w:t>the</w:t>
      </w:r>
      <w:r w:rsidRPr="00834117">
        <w:t xml:space="preserve"> treasury management consultants, hedge accounting will be used to periodically test the effec</w:t>
      </w:r>
      <w:r w:rsidRPr="00834117">
        <w:t>tiveness of the hedge. It is expected the hedge will work with between 80% and 125% effectiveness in accordance with accounting standards. If the effectiveness is measured as falling outside these parameters, the structure of the hedge will be changed in r</w:t>
      </w:r>
      <w:r w:rsidRPr="00834117">
        <w:t>esponse.</w:t>
      </w:r>
    </w:p>
    <w:p w14:paraId="58529A5B" w14:textId="77777777" w:rsidR="00C742C9" w:rsidRPr="00044115" w:rsidRDefault="00C742C9" w:rsidP="00C742C9">
      <w:pPr>
        <w:jc w:val="both"/>
        <w:rPr>
          <w:highlight w:val="green"/>
        </w:rPr>
      </w:pPr>
    </w:p>
    <w:p w14:paraId="73F87DE1" w14:textId="77777777" w:rsidR="00C742C9" w:rsidRPr="00834117" w:rsidRDefault="00BC5B1D" w:rsidP="00C742C9">
      <w:pPr>
        <w:jc w:val="both"/>
      </w:pPr>
      <w:r w:rsidRPr="00834117">
        <w:lastRenderedPageBreak/>
        <w:t xml:space="preserve">The calculation method of interest rate risk to be hedged and hedge effectiveness will be set out in the treasury management practices document. </w:t>
      </w:r>
    </w:p>
    <w:p w14:paraId="1F02255D" w14:textId="77777777" w:rsidR="0097530F" w:rsidRDefault="0097530F" w:rsidP="00C742C9">
      <w:pPr>
        <w:jc w:val="both"/>
      </w:pPr>
    </w:p>
    <w:p w14:paraId="306027BE" w14:textId="77777777" w:rsidR="00C742C9" w:rsidRPr="00834117" w:rsidRDefault="00BC5B1D" w:rsidP="00C742C9">
      <w:pPr>
        <w:jc w:val="both"/>
      </w:pPr>
      <w:r w:rsidRPr="00834117">
        <w:t>At all times the council will comply with CIPFA advice and guidance on the use of financial derivat</w:t>
      </w:r>
      <w:r w:rsidRPr="00834117">
        <w:t>ives and have regard to CIPFA publications on risk management. However</w:t>
      </w:r>
      <w:r w:rsidR="006D6C02">
        <w:t>,</w:t>
      </w:r>
      <w:r w:rsidRPr="00834117">
        <w:t xml:space="preserve"> the council may need to seek its own legal advice. </w:t>
      </w:r>
    </w:p>
    <w:p w14:paraId="73E17E62" w14:textId="77777777" w:rsidR="00C742C9" w:rsidRPr="00834117" w:rsidRDefault="00C742C9" w:rsidP="00C742C9"/>
    <w:p w14:paraId="2CBA780E" w14:textId="77777777" w:rsidR="00C742C9" w:rsidRPr="00834117" w:rsidRDefault="00BC5B1D" w:rsidP="00C742C9">
      <w:pPr>
        <w:jc w:val="both"/>
      </w:pPr>
      <w:r w:rsidRPr="00834117">
        <w:t>It is anticipated that there may be occasions when it is appropriate to undertake transactions which seek to reduce the council's s</w:t>
      </w:r>
      <w:r w:rsidRPr="00834117">
        <w:t xml:space="preserve">pecific exposure to interest rate risk. A standard market technique involves selling </w:t>
      </w:r>
      <w:r w:rsidR="006B337B" w:rsidRPr="00834117">
        <w:t>g</w:t>
      </w:r>
      <w:r w:rsidRPr="00834117">
        <w:t xml:space="preserve">ilts to be paid for at an agreed date in the future rather than the normal next working day. It is proposed that the advance date is restricted to </w:t>
      </w:r>
      <w:r w:rsidR="006B337B" w:rsidRPr="00834117">
        <w:t>one month</w:t>
      </w:r>
      <w:r w:rsidRPr="00834117">
        <w:t xml:space="preserve"> and the limit</w:t>
      </w:r>
      <w:r w:rsidRPr="00834117">
        <w:t xml:space="preserve"> on the transaction(s) outstanding is £250m in total. </w:t>
      </w:r>
    </w:p>
    <w:p w14:paraId="089C6DB5" w14:textId="77777777" w:rsidR="00C742C9" w:rsidRPr="00044115" w:rsidRDefault="00C742C9" w:rsidP="00C742C9">
      <w:pPr>
        <w:rPr>
          <w:highlight w:val="green"/>
        </w:rPr>
      </w:pPr>
    </w:p>
    <w:p w14:paraId="74296A34" w14:textId="77777777" w:rsidR="00C742C9" w:rsidRPr="0050205A" w:rsidRDefault="00BC5B1D" w:rsidP="00C742C9">
      <w:pPr>
        <w:jc w:val="both"/>
        <w:rPr>
          <w:b/>
          <w:sz w:val="28"/>
          <w:szCs w:val="28"/>
        </w:rPr>
      </w:pPr>
      <w:r w:rsidRPr="0050205A">
        <w:rPr>
          <w:b/>
          <w:sz w:val="28"/>
          <w:szCs w:val="28"/>
        </w:rPr>
        <w:t xml:space="preserve">Impact on the </w:t>
      </w:r>
      <w:r w:rsidR="00C2537B" w:rsidRPr="0050205A">
        <w:rPr>
          <w:b/>
          <w:sz w:val="28"/>
          <w:szCs w:val="28"/>
        </w:rPr>
        <w:t>c</w:t>
      </w:r>
      <w:r w:rsidRPr="0050205A">
        <w:rPr>
          <w:b/>
          <w:sz w:val="28"/>
          <w:szCs w:val="28"/>
        </w:rPr>
        <w:t xml:space="preserve">ouncil's </w:t>
      </w:r>
      <w:r w:rsidR="00E96927" w:rsidRPr="0050205A">
        <w:rPr>
          <w:b/>
          <w:sz w:val="28"/>
          <w:szCs w:val="28"/>
        </w:rPr>
        <w:t>r</w:t>
      </w:r>
      <w:r w:rsidRPr="0050205A">
        <w:rPr>
          <w:b/>
          <w:sz w:val="28"/>
          <w:szCs w:val="28"/>
        </w:rPr>
        <w:t xml:space="preserve">evenue </w:t>
      </w:r>
      <w:r w:rsidR="00E96927" w:rsidRPr="0050205A">
        <w:rPr>
          <w:b/>
          <w:sz w:val="28"/>
          <w:szCs w:val="28"/>
        </w:rPr>
        <w:t>b</w:t>
      </w:r>
      <w:r w:rsidRPr="0050205A">
        <w:rPr>
          <w:b/>
          <w:sz w:val="28"/>
          <w:szCs w:val="28"/>
        </w:rPr>
        <w:t xml:space="preserve">udget </w:t>
      </w:r>
    </w:p>
    <w:p w14:paraId="73DC4898" w14:textId="77777777" w:rsidR="00C742C9" w:rsidRPr="0050205A" w:rsidRDefault="00C742C9" w:rsidP="00C742C9">
      <w:pPr>
        <w:jc w:val="both"/>
      </w:pPr>
    </w:p>
    <w:p w14:paraId="64D9EB39" w14:textId="77777777" w:rsidR="00C742C9" w:rsidRPr="0050205A" w:rsidRDefault="00BC5B1D" w:rsidP="00C742C9">
      <w:pPr>
        <w:jc w:val="both"/>
      </w:pPr>
      <w:r w:rsidRPr="0050205A">
        <w:t>With base rates at low levels, investment returns are likely to continue to be far lower than has previously been the case. However, in the knowledge that a po</w:t>
      </w:r>
      <w:r w:rsidRPr="0050205A">
        <w:t xml:space="preserve">rtion of cash invested will not be required in the short term and to protect against continued low investment rates, investments may be made for longer time periods, depending on cash flow considerations and the prevailing market conditions. </w:t>
      </w:r>
    </w:p>
    <w:p w14:paraId="1721DB3A" w14:textId="77777777" w:rsidR="00C742C9" w:rsidRPr="0050205A" w:rsidRDefault="00C742C9" w:rsidP="00C742C9">
      <w:pPr>
        <w:jc w:val="both"/>
      </w:pPr>
    </w:p>
    <w:p w14:paraId="08E3FAAB" w14:textId="77777777" w:rsidR="00C742C9" w:rsidRPr="0050205A" w:rsidRDefault="00BC5B1D" w:rsidP="00C742C9">
      <w:pPr>
        <w:jc w:val="both"/>
      </w:pPr>
      <w:r w:rsidRPr="0050205A">
        <w:t>The performa</w:t>
      </w:r>
      <w:r w:rsidRPr="0050205A">
        <w:t xml:space="preserve">nce target on investments is a return above the average rate for </w:t>
      </w:r>
      <w:r w:rsidR="006B337B" w:rsidRPr="0050205A">
        <w:t>seven</w:t>
      </w:r>
      <w:r w:rsidR="0097530F">
        <w:t>-</w:t>
      </w:r>
      <w:r w:rsidRPr="0050205A">
        <w:t xml:space="preserve">day notice money. </w:t>
      </w:r>
    </w:p>
    <w:p w14:paraId="2D14273F" w14:textId="77777777" w:rsidR="00C742C9" w:rsidRPr="00044115" w:rsidRDefault="00C742C9" w:rsidP="00C742C9">
      <w:pPr>
        <w:jc w:val="both"/>
        <w:rPr>
          <w:highlight w:val="green"/>
        </w:rPr>
      </w:pPr>
    </w:p>
    <w:p w14:paraId="79326D68" w14:textId="77777777" w:rsidR="00C742C9" w:rsidRPr="00A85D41" w:rsidRDefault="00BC5B1D" w:rsidP="00C742C9">
      <w:pPr>
        <w:jc w:val="both"/>
      </w:pPr>
      <w:r w:rsidRPr="00A85D41">
        <w:t xml:space="preserve">The following table outlines the budget for the financing charges element of the council's revenue budget as reflected in the </w:t>
      </w:r>
      <w:r w:rsidR="00735451" w:rsidRPr="00A85D41">
        <w:t>m</w:t>
      </w:r>
      <w:r w:rsidRPr="00A85D41">
        <w:t>edium</w:t>
      </w:r>
      <w:r w:rsidR="0097530F">
        <w:t>-</w:t>
      </w:r>
      <w:r w:rsidR="00735451" w:rsidRPr="00A85D41">
        <w:t>t</w:t>
      </w:r>
      <w:r w:rsidRPr="00A85D41">
        <w:t xml:space="preserve">erm </w:t>
      </w:r>
      <w:r w:rsidR="00735451" w:rsidRPr="00A85D41">
        <w:t>f</w:t>
      </w:r>
      <w:r w:rsidRPr="00A85D41">
        <w:t xml:space="preserve">inancial </w:t>
      </w:r>
      <w:r w:rsidR="00735451" w:rsidRPr="00A85D41">
        <w:t>s</w:t>
      </w:r>
      <w:r w:rsidRPr="00A85D41">
        <w:t>trategy. However, the budgets will be reviewed in light of changes in the capital programme</w:t>
      </w:r>
      <w:r w:rsidR="0050205A">
        <w:t xml:space="preserve"> and interest rates</w:t>
      </w:r>
      <w:r w:rsidRPr="00A85D41">
        <w:t xml:space="preserve">.  </w:t>
      </w:r>
    </w:p>
    <w:p w14:paraId="1E9C209A" w14:textId="77777777" w:rsidR="00104A23" w:rsidRPr="00044115" w:rsidRDefault="00104A23" w:rsidP="00C742C9">
      <w:pPr>
        <w:jc w:val="both"/>
        <w:rPr>
          <w:highlight w:val="green"/>
        </w:rPr>
      </w:pPr>
    </w:p>
    <w:p w14:paraId="669B641F" w14:textId="77777777" w:rsidR="00C742C9" w:rsidRPr="00044115" w:rsidRDefault="00C742C9" w:rsidP="00C742C9">
      <w:pPr>
        <w:jc w:val="both"/>
        <w:rPr>
          <w:highlight w:val="green"/>
        </w:rPr>
      </w:pPr>
    </w:p>
    <w:tbl>
      <w:tblPr>
        <w:tblW w:w="9016" w:type="dxa"/>
        <w:tblLook w:val="04A0" w:firstRow="1" w:lastRow="0" w:firstColumn="1" w:lastColumn="0" w:noHBand="0" w:noVBand="1"/>
      </w:tblPr>
      <w:tblGrid>
        <w:gridCol w:w="3681"/>
        <w:gridCol w:w="1417"/>
        <w:gridCol w:w="1418"/>
        <w:gridCol w:w="1280"/>
        <w:gridCol w:w="1220"/>
      </w:tblGrid>
      <w:tr w:rsidR="00937FCD" w14:paraId="0A2874F7" w14:textId="77777777" w:rsidTr="00C742C9">
        <w:trPr>
          <w:trHeight w:val="285"/>
        </w:trPr>
        <w:tc>
          <w:tcPr>
            <w:tcW w:w="3681" w:type="dxa"/>
            <w:tcBorders>
              <w:top w:val="single" w:sz="4" w:space="0" w:color="auto"/>
              <w:left w:val="single" w:sz="4" w:space="0" w:color="auto"/>
              <w:right w:val="nil"/>
            </w:tcBorders>
            <w:shd w:val="clear" w:color="000000" w:fill="FFFFFF"/>
            <w:noWrap/>
            <w:vAlign w:val="bottom"/>
            <w:hideMark/>
          </w:tcPr>
          <w:p w14:paraId="725CF198" w14:textId="77777777" w:rsidR="00DE69C4" w:rsidRPr="00A85D41" w:rsidRDefault="00BC5B1D" w:rsidP="00DE69C4">
            <w:r w:rsidRPr="00A85D41">
              <w:t> </w:t>
            </w:r>
          </w:p>
        </w:tc>
        <w:tc>
          <w:tcPr>
            <w:tcW w:w="1417" w:type="dxa"/>
            <w:tcBorders>
              <w:top w:val="single" w:sz="4" w:space="0" w:color="auto"/>
              <w:left w:val="single" w:sz="4" w:space="0" w:color="auto"/>
              <w:right w:val="single" w:sz="4" w:space="0" w:color="auto"/>
            </w:tcBorders>
            <w:shd w:val="clear" w:color="000000" w:fill="FFFFFF"/>
            <w:noWrap/>
            <w:vAlign w:val="bottom"/>
            <w:hideMark/>
          </w:tcPr>
          <w:p w14:paraId="72AD497B" w14:textId="77777777" w:rsidR="00DE69C4" w:rsidRPr="00A85D41" w:rsidRDefault="00BC5B1D" w:rsidP="00DE69C4">
            <w:pPr>
              <w:jc w:val="center"/>
            </w:pPr>
            <w:r w:rsidRPr="00A85D41">
              <w:t>Revenue Budget</w:t>
            </w:r>
          </w:p>
        </w:tc>
        <w:tc>
          <w:tcPr>
            <w:tcW w:w="1418" w:type="dxa"/>
            <w:tcBorders>
              <w:top w:val="single" w:sz="4" w:space="0" w:color="auto"/>
              <w:left w:val="nil"/>
              <w:right w:val="single" w:sz="4" w:space="0" w:color="auto"/>
            </w:tcBorders>
            <w:shd w:val="clear" w:color="000000" w:fill="FFFFFF"/>
            <w:noWrap/>
            <w:vAlign w:val="bottom"/>
            <w:hideMark/>
          </w:tcPr>
          <w:p w14:paraId="7CE8D7DC" w14:textId="77777777" w:rsidR="00DE69C4" w:rsidRPr="00A85D41" w:rsidRDefault="00BC5B1D" w:rsidP="00DE69C4">
            <w:pPr>
              <w:jc w:val="center"/>
            </w:pPr>
            <w:r w:rsidRPr="00A85D41">
              <w:t>Revenue Budget</w:t>
            </w:r>
          </w:p>
        </w:tc>
        <w:tc>
          <w:tcPr>
            <w:tcW w:w="1280" w:type="dxa"/>
            <w:tcBorders>
              <w:top w:val="single" w:sz="4" w:space="0" w:color="auto"/>
              <w:left w:val="nil"/>
              <w:right w:val="single" w:sz="4" w:space="0" w:color="auto"/>
            </w:tcBorders>
            <w:shd w:val="clear" w:color="000000" w:fill="FFFFFF"/>
            <w:noWrap/>
            <w:vAlign w:val="bottom"/>
            <w:hideMark/>
          </w:tcPr>
          <w:p w14:paraId="0BAE0D95" w14:textId="77777777" w:rsidR="00DE69C4" w:rsidRPr="00A85D41" w:rsidRDefault="00BC5B1D" w:rsidP="00DE69C4">
            <w:pPr>
              <w:jc w:val="center"/>
            </w:pPr>
            <w:r w:rsidRPr="00A85D41">
              <w:t>Revenue Budget</w:t>
            </w:r>
          </w:p>
        </w:tc>
        <w:tc>
          <w:tcPr>
            <w:tcW w:w="1220" w:type="dxa"/>
            <w:tcBorders>
              <w:top w:val="single" w:sz="4" w:space="0" w:color="auto"/>
              <w:left w:val="nil"/>
              <w:right w:val="single" w:sz="4" w:space="0" w:color="auto"/>
            </w:tcBorders>
            <w:shd w:val="clear" w:color="000000" w:fill="FFFFFF"/>
            <w:noWrap/>
            <w:vAlign w:val="bottom"/>
            <w:hideMark/>
          </w:tcPr>
          <w:p w14:paraId="2F4BCDF1" w14:textId="77777777" w:rsidR="00DE69C4" w:rsidRPr="00A85D41" w:rsidRDefault="00BC5B1D" w:rsidP="00DE69C4">
            <w:pPr>
              <w:jc w:val="center"/>
            </w:pPr>
            <w:r w:rsidRPr="00A85D41">
              <w:t>Revenue Budget</w:t>
            </w:r>
          </w:p>
        </w:tc>
      </w:tr>
      <w:tr w:rsidR="00937FCD" w14:paraId="6CFD0B6E" w14:textId="77777777" w:rsidTr="00C742C9">
        <w:trPr>
          <w:trHeight w:val="285"/>
        </w:trPr>
        <w:tc>
          <w:tcPr>
            <w:tcW w:w="3681" w:type="dxa"/>
            <w:tcBorders>
              <w:top w:val="nil"/>
              <w:left w:val="single" w:sz="4" w:space="0" w:color="auto"/>
              <w:right w:val="nil"/>
            </w:tcBorders>
            <w:shd w:val="clear" w:color="000000" w:fill="FFFFFF"/>
            <w:noWrap/>
            <w:vAlign w:val="bottom"/>
            <w:hideMark/>
          </w:tcPr>
          <w:p w14:paraId="4D1BD61C" w14:textId="77777777" w:rsidR="00DE69C4" w:rsidRPr="00A85D41" w:rsidRDefault="00BC5B1D" w:rsidP="00DE69C4">
            <w:r w:rsidRPr="00A85D41">
              <w:t> </w:t>
            </w:r>
          </w:p>
        </w:tc>
        <w:tc>
          <w:tcPr>
            <w:tcW w:w="1417" w:type="dxa"/>
            <w:tcBorders>
              <w:top w:val="nil"/>
              <w:left w:val="single" w:sz="4" w:space="0" w:color="auto"/>
              <w:right w:val="single" w:sz="4" w:space="0" w:color="auto"/>
            </w:tcBorders>
            <w:shd w:val="clear" w:color="000000" w:fill="FFFFFF"/>
            <w:noWrap/>
            <w:vAlign w:val="bottom"/>
            <w:hideMark/>
          </w:tcPr>
          <w:p w14:paraId="3FF1DAB8" w14:textId="77777777" w:rsidR="00DE69C4" w:rsidRPr="00A85D41" w:rsidRDefault="00BC5B1D" w:rsidP="00DE69C4">
            <w:pPr>
              <w:jc w:val="center"/>
            </w:pPr>
            <w:r w:rsidRPr="00A85D41">
              <w:t>2021/22</w:t>
            </w:r>
          </w:p>
        </w:tc>
        <w:tc>
          <w:tcPr>
            <w:tcW w:w="1418" w:type="dxa"/>
            <w:tcBorders>
              <w:top w:val="nil"/>
              <w:left w:val="nil"/>
              <w:right w:val="single" w:sz="4" w:space="0" w:color="auto"/>
            </w:tcBorders>
            <w:shd w:val="clear" w:color="000000" w:fill="FFFFFF"/>
            <w:noWrap/>
            <w:vAlign w:val="bottom"/>
            <w:hideMark/>
          </w:tcPr>
          <w:p w14:paraId="3C60A9EC" w14:textId="77777777" w:rsidR="00DE69C4" w:rsidRPr="00A85D41" w:rsidRDefault="00BC5B1D" w:rsidP="00DE69C4">
            <w:pPr>
              <w:jc w:val="center"/>
            </w:pPr>
            <w:r w:rsidRPr="00A85D41">
              <w:t>2022/23</w:t>
            </w:r>
          </w:p>
        </w:tc>
        <w:tc>
          <w:tcPr>
            <w:tcW w:w="1280" w:type="dxa"/>
            <w:tcBorders>
              <w:top w:val="nil"/>
              <w:left w:val="nil"/>
              <w:right w:val="single" w:sz="4" w:space="0" w:color="auto"/>
            </w:tcBorders>
            <w:shd w:val="clear" w:color="000000" w:fill="FFFFFF"/>
            <w:noWrap/>
            <w:vAlign w:val="bottom"/>
            <w:hideMark/>
          </w:tcPr>
          <w:p w14:paraId="63639DD8" w14:textId="77777777" w:rsidR="00DE69C4" w:rsidRPr="00A85D41" w:rsidRDefault="00BC5B1D" w:rsidP="00DE69C4">
            <w:pPr>
              <w:jc w:val="center"/>
            </w:pPr>
            <w:r w:rsidRPr="00A85D41">
              <w:t>2023/24</w:t>
            </w:r>
          </w:p>
        </w:tc>
        <w:tc>
          <w:tcPr>
            <w:tcW w:w="1220" w:type="dxa"/>
            <w:tcBorders>
              <w:top w:val="nil"/>
              <w:left w:val="nil"/>
              <w:right w:val="single" w:sz="4" w:space="0" w:color="auto"/>
            </w:tcBorders>
            <w:shd w:val="clear" w:color="000000" w:fill="FFFFFF"/>
            <w:noWrap/>
            <w:vAlign w:val="bottom"/>
            <w:hideMark/>
          </w:tcPr>
          <w:p w14:paraId="7FAB62DF" w14:textId="77777777" w:rsidR="00DE69C4" w:rsidRPr="00A85D41" w:rsidRDefault="00BC5B1D" w:rsidP="00DE69C4">
            <w:pPr>
              <w:jc w:val="center"/>
            </w:pPr>
            <w:r w:rsidRPr="00A85D41">
              <w:t>2024/25</w:t>
            </w:r>
          </w:p>
        </w:tc>
      </w:tr>
      <w:tr w:rsidR="00937FCD" w14:paraId="4A0F9858" w14:textId="77777777" w:rsidTr="00C742C9">
        <w:trPr>
          <w:trHeight w:val="285"/>
        </w:trPr>
        <w:tc>
          <w:tcPr>
            <w:tcW w:w="3681" w:type="dxa"/>
            <w:tcBorders>
              <w:top w:val="nil"/>
              <w:left w:val="single" w:sz="4" w:space="0" w:color="auto"/>
              <w:bottom w:val="single" w:sz="4" w:space="0" w:color="auto"/>
              <w:right w:val="nil"/>
            </w:tcBorders>
            <w:shd w:val="clear" w:color="000000" w:fill="FFFFFF"/>
            <w:noWrap/>
            <w:vAlign w:val="bottom"/>
            <w:hideMark/>
          </w:tcPr>
          <w:p w14:paraId="42AC7611" w14:textId="77777777" w:rsidR="00DE69C4" w:rsidRPr="00A85D41" w:rsidRDefault="00BC5B1D" w:rsidP="00DE69C4">
            <w:r w:rsidRPr="00A85D41">
              <w:t>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6D3A54CC" w14:textId="77777777" w:rsidR="00DE69C4" w:rsidRPr="00A85D41" w:rsidRDefault="00BC5B1D" w:rsidP="00DE69C4">
            <w:pPr>
              <w:jc w:val="center"/>
            </w:pPr>
            <w:r w:rsidRPr="00A85D41">
              <w:t>£m</w:t>
            </w:r>
          </w:p>
        </w:tc>
        <w:tc>
          <w:tcPr>
            <w:tcW w:w="1418" w:type="dxa"/>
            <w:tcBorders>
              <w:top w:val="nil"/>
              <w:left w:val="nil"/>
              <w:bottom w:val="single" w:sz="4" w:space="0" w:color="auto"/>
              <w:right w:val="single" w:sz="4" w:space="0" w:color="auto"/>
            </w:tcBorders>
            <w:shd w:val="clear" w:color="000000" w:fill="FFFFFF"/>
            <w:noWrap/>
            <w:vAlign w:val="bottom"/>
            <w:hideMark/>
          </w:tcPr>
          <w:p w14:paraId="71D40227" w14:textId="77777777" w:rsidR="00DE69C4" w:rsidRPr="00A85D41" w:rsidRDefault="00BC5B1D" w:rsidP="00DE69C4">
            <w:pPr>
              <w:jc w:val="center"/>
            </w:pPr>
            <w:r w:rsidRPr="00A85D41">
              <w:t>£m</w:t>
            </w:r>
          </w:p>
        </w:tc>
        <w:tc>
          <w:tcPr>
            <w:tcW w:w="1280" w:type="dxa"/>
            <w:tcBorders>
              <w:top w:val="nil"/>
              <w:left w:val="nil"/>
              <w:bottom w:val="single" w:sz="4" w:space="0" w:color="auto"/>
              <w:right w:val="single" w:sz="4" w:space="0" w:color="auto"/>
            </w:tcBorders>
            <w:shd w:val="clear" w:color="000000" w:fill="FFFFFF"/>
            <w:noWrap/>
            <w:vAlign w:val="bottom"/>
            <w:hideMark/>
          </w:tcPr>
          <w:p w14:paraId="6D638FAC" w14:textId="77777777" w:rsidR="00DE69C4" w:rsidRPr="00A85D41" w:rsidRDefault="00BC5B1D" w:rsidP="00DE69C4">
            <w:pPr>
              <w:jc w:val="center"/>
            </w:pPr>
            <w:r w:rsidRPr="00A85D41">
              <w:t>£m</w:t>
            </w:r>
          </w:p>
        </w:tc>
        <w:tc>
          <w:tcPr>
            <w:tcW w:w="1220" w:type="dxa"/>
            <w:tcBorders>
              <w:top w:val="nil"/>
              <w:left w:val="nil"/>
              <w:bottom w:val="single" w:sz="4" w:space="0" w:color="auto"/>
              <w:right w:val="single" w:sz="4" w:space="0" w:color="auto"/>
            </w:tcBorders>
            <w:shd w:val="clear" w:color="000000" w:fill="FFFFFF"/>
            <w:noWrap/>
            <w:vAlign w:val="bottom"/>
            <w:hideMark/>
          </w:tcPr>
          <w:p w14:paraId="1F8B9CEB" w14:textId="77777777" w:rsidR="00DE69C4" w:rsidRPr="00A85D41" w:rsidRDefault="00BC5B1D" w:rsidP="00DE69C4">
            <w:pPr>
              <w:jc w:val="center"/>
            </w:pPr>
            <w:r w:rsidRPr="00A85D41">
              <w:t>£m</w:t>
            </w:r>
          </w:p>
        </w:tc>
      </w:tr>
      <w:tr w:rsidR="00937FCD" w14:paraId="7A451686" w14:textId="77777777" w:rsidTr="00C742C9">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14:paraId="535451EB" w14:textId="77777777" w:rsidR="00A85D41" w:rsidRPr="00A85D41" w:rsidRDefault="00BC5B1D" w:rsidP="00A85D41">
            <w:r w:rsidRPr="00A85D41">
              <w:t xml:space="preserve">Minimum Revenue Provision </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14:paraId="64D77810" w14:textId="77777777" w:rsidR="00A85D41" w:rsidRPr="00A85D41" w:rsidRDefault="00BC5B1D" w:rsidP="00A85D41">
            <w:pPr>
              <w:jc w:val="center"/>
            </w:pPr>
            <w:r w:rsidRPr="00A85D41">
              <w:t>19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925F9E5" w14:textId="77777777" w:rsidR="00A85D41" w:rsidRPr="00A85D41" w:rsidRDefault="00BC5B1D" w:rsidP="00A85D41">
            <w:pPr>
              <w:jc w:val="center"/>
            </w:pPr>
            <w:r w:rsidRPr="00A85D41">
              <w:t>24</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14:paraId="00F0983E" w14:textId="77777777" w:rsidR="00A85D41" w:rsidRPr="00A85D41" w:rsidRDefault="00BC5B1D" w:rsidP="00A85D41">
            <w:pPr>
              <w:jc w:val="center"/>
            </w:pPr>
            <w:r w:rsidRPr="00A85D41">
              <w:t>26</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14:paraId="290D3208" w14:textId="77777777" w:rsidR="00A85D41" w:rsidRPr="00A85D41" w:rsidRDefault="00BC5B1D" w:rsidP="00A85D41">
            <w:pPr>
              <w:jc w:val="center"/>
            </w:pPr>
            <w:r w:rsidRPr="00A85D41">
              <w:t>28</w:t>
            </w:r>
          </w:p>
        </w:tc>
      </w:tr>
      <w:tr w:rsidR="00937FCD" w14:paraId="2E15382D" w14:textId="77777777" w:rsidTr="00C742C9">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14:paraId="477E122C" w14:textId="77777777" w:rsidR="00A85D41" w:rsidRPr="00A85D41" w:rsidRDefault="00BC5B1D" w:rsidP="00A85D41">
            <w:r w:rsidRPr="00A85D41">
              <w:t>Interest paid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14:paraId="4A8BEB0A" w14:textId="77777777" w:rsidR="00A85D41" w:rsidRPr="00A85D41" w:rsidRDefault="00BC5B1D" w:rsidP="00A85D41">
            <w:pPr>
              <w:jc w:val="center"/>
            </w:pPr>
            <w:r w:rsidRPr="00A85D41">
              <w:t>27</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4C4BC4A" w14:textId="77777777" w:rsidR="00A85D41" w:rsidRPr="00A85D41" w:rsidRDefault="00BC5B1D" w:rsidP="00A85D41">
            <w:pPr>
              <w:jc w:val="center"/>
            </w:pPr>
            <w:r w:rsidRPr="00A85D41">
              <w:t>25</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14:paraId="3A786509" w14:textId="77777777" w:rsidR="00A85D41" w:rsidRPr="00A85D41" w:rsidRDefault="00BC5B1D" w:rsidP="00A85D41">
            <w:pPr>
              <w:jc w:val="center"/>
            </w:pPr>
            <w:r w:rsidRPr="00A85D41">
              <w:t>25</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14:paraId="37C8D161" w14:textId="77777777" w:rsidR="00A85D41" w:rsidRPr="00A85D41" w:rsidRDefault="00BC5B1D" w:rsidP="00A85D41">
            <w:pPr>
              <w:jc w:val="center"/>
            </w:pPr>
            <w:r w:rsidRPr="00A85D41">
              <w:t>25</w:t>
            </w:r>
          </w:p>
        </w:tc>
      </w:tr>
      <w:tr w:rsidR="00937FCD" w14:paraId="1D5FB360" w14:textId="77777777" w:rsidTr="00C742C9">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14:paraId="7F18EA30" w14:textId="77777777" w:rsidR="00A85D41" w:rsidRPr="00A85D41" w:rsidRDefault="00BC5B1D" w:rsidP="00A85D41">
            <w:r w:rsidRPr="00A85D41">
              <w:t>Interest and other income earned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14:paraId="79DD3D74" w14:textId="77777777" w:rsidR="00A85D41" w:rsidRPr="00A85D41" w:rsidRDefault="00BC5B1D" w:rsidP="00A85D41">
            <w:pPr>
              <w:jc w:val="center"/>
            </w:pPr>
            <w:r w:rsidRPr="00A85D41">
              <w:t>-15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78B7B75" w14:textId="77777777" w:rsidR="00A85D41" w:rsidRPr="00A85D41" w:rsidRDefault="00BC5B1D" w:rsidP="00A85D41">
            <w:pPr>
              <w:jc w:val="center"/>
            </w:pPr>
            <w:r w:rsidRPr="00A85D41">
              <w:t>-16</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14:paraId="7D0C1C21" w14:textId="77777777" w:rsidR="00A85D41" w:rsidRPr="00A85D41" w:rsidRDefault="00BC5B1D" w:rsidP="00A85D41">
            <w:pPr>
              <w:jc w:val="center"/>
            </w:pPr>
            <w:r w:rsidRPr="00A85D41">
              <w:t>-18</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14:paraId="54A01C04" w14:textId="77777777" w:rsidR="00A85D41" w:rsidRPr="00A85D41" w:rsidRDefault="00BC5B1D" w:rsidP="00A85D41">
            <w:pPr>
              <w:jc w:val="center"/>
            </w:pPr>
            <w:r w:rsidRPr="00A85D41">
              <w:t>-20</w:t>
            </w:r>
          </w:p>
        </w:tc>
      </w:tr>
      <w:tr w:rsidR="00937FCD" w14:paraId="1E93002B" w14:textId="77777777" w:rsidTr="00B35111">
        <w:trPr>
          <w:trHeight w:val="285"/>
        </w:trPr>
        <w:tc>
          <w:tcPr>
            <w:tcW w:w="3681" w:type="dxa"/>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14:paraId="7B712F41" w14:textId="77777777" w:rsidR="00A85D41" w:rsidRPr="00A85D41" w:rsidRDefault="00BC5B1D" w:rsidP="00A85D41">
            <w:r w:rsidRPr="00A85D41">
              <w:t>Total</w:t>
            </w:r>
          </w:p>
        </w:tc>
        <w:tc>
          <w:tcPr>
            <w:tcW w:w="1417" w:type="dxa"/>
            <w:tcBorders>
              <w:top w:val="single" w:sz="4" w:space="0" w:color="auto"/>
              <w:left w:val="single" w:sz="4" w:space="0" w:color="auto"/>
              <w:bottom w:val="single" w:sz="4" w:space="0" w:color="auto"/>
              <w:right w:val="nil"/>
            </w:tcBorders>
            <w:shd w:val="clear" w:color="auto" w:fill="DAEEF3" w:themeFill="accent5" w:themeFillTint="33"/>
            <w:noWrap/>
            <w:vAlign w:val="bottom"/>
          </w:tcPr>
          <w:p w14:paraId="402ED875" w14:textId="77777777" w:rsidR="00A85D41" w:rsidRPr="00A85D41" w:rsidRDefault="00BC5B1D" w:rsidP="00A85D41">
            <w:pPr>
              <w:jc w:val="center"/>
            </w:pPr>
            <w:r w:rsidRPr="00A85D41">
              <w:t>31</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6032E67B" w14:textId="77777777" w:rsidR="00A85D41" w:rsidRPr="00A85D41" w:rsidRDefault="00BC5B1D" w:rsidP="00A85D41">
            <w:pPr>
              <w:jc w:val="center"/>
            </w:pPr>
            <w:r w:rsidRPr="00A85D41">
              <w:t>33</w:t>
            </w:r>
          </w:p>
        </w:tc>
        <w:tc>
          <w:tcPr>
            <w:tcW w:w="1280" w:type="dxa"/>
            <w:tcBorders>
              <w:top w:val="single" w:sz="4" w:space="0" w:color="auto"/>
              <w:left w:val="nil"/>
              <w:bottom w:val="single" w:sz="4" w:space="0" w:color="auto"/>
              <w:right w:val="single" w:sz="4" w:space="0" w:color="auto"/>
            </w:tcBorders>
            <w:shd w:val="clear" w:color="auto" w:fill="DAEEF3" w:themeFill="accent5" w:themeFillTint="33"/>
            <w:noWrap/>
          </w:tcPr>
          <w:p w14:paraId="1BC0DEB1" w14:textId="77777777" w:rsidR="00A85D41" w:rsidRPr="00A85D41" w:rsidRDefault="00BC5B1D" w:rsidP="00A85D41">
            <w:pPr>
              <w:jc w:val="center"/>
            </w:pPr>
            <w:r w:rsidRPr="00A85D41">
              <w:t>33</w:t>
            </w:r>
          </w:p>
        </w:tc>
        <w:tc>
          <w:tcPr>
            <w:tcW w:w="1220" w:type="dxa"/>
            <w:tcBorders>
              <w:top w:val="single" w:sz="4" w:space="0" w:color="auto"/>
              <w:left w:val="nil"/>
              <w:bottom w:val="single" w:sz="4" w:space="0" w:color="auto"/>
              <w:right w:val="single" w:sz="4" w:space="0" w:color="auto"/>
            </w:tcBorders>
            <w:shd w:val="clear" w:color="auto" w:fill="DAEEF3" w:themeFill="accent5" w:themeFillTint="33"/>
            <w:noWrap/>
          </w:tcPr>
          <w:p w14:paraId="512BF641" w14:textId="77777777" w:rsidR="00A85D41" w:rsidRPr="00A85D41" w:rsidRDefault="00BC5B1D" w:rsidP="00A85D41">
            <w:pPr>
              <w:jc w:val="center"/>
            </w:pPr>
            <w:r w:rsidRPr="00A85D41">
              <w:t>33</w:t>
            </w:r>
          </w:p>
        </w:tc>
      </w:tr>
    </w:tbl>
    <w:p w14:paraId="087A4253" w14:textId="77777777" w:rsidR="00C742C9" w:rsidRPr="00A85D41" w:rsidRDefault="00C742C9" w:rsidP="00C742C9">
      <w:pPr>
        <w:jc w:val="both"/>
      </w:pPr>
    </w:p>
    <w:p w14:paraId="554F0F51" w14:textId="77777777" w:rsidR="00C742C9" w:rsidRPr="00A85D41" w:rsidRDefault="00BC5B1D" w:rsidP="00C742C9">
      <w:pPr>
        <w:jc w:val="both"/>
      </w:pPr>
      <w:r w:rsidRPr="00A85D41">
        <w:t>The revenue budget above reflects a position which takes account of the views of both internal and external advisers, particularly in relation to interest rate movements.  The position will be closely monitored by the Director of Finance and any chang</w:t>
      </w:r>
      <w:r w:rsidRPr="00A85D41">
        <w:t>es will be reflected in forecasts presented to Cabinet.</w:t>
      </w:r>
    </w:p>
    <w:p w14:paraId="550B73DC" w14:textId="77777777" w:rsidR="00717E3A" w:rsidRDefault="00717E3A" w:rsidP="00C742C9">
      <w:pPr>
        <w:jc w:val="both"/>
        <w:rPr>
          <w:highlight w:val="green"/>
        </w:rPr>
      </w:pPr>
    </w:p>
    <w:p w14:paraId="3368AC2B" w14:textId="77777777" w:rsidR="00C248F1" w:rsidRDefault="00C248F1" w:rsidP="00C742C9">
      <w:pPr>
        <w:jc w:val="both"/>
        <w:rPr>
          <w:highlight w:val="green"/>
        </w:rPr>
      </w:pPr>
    </w:p>
    <w:p w14:paraId="51A1C104" w14:textId="77777777" w:rsidR="00C248F1" w:rsidRDefault="00C248F1" w:rsidP="00C742C9">
      <w:pPr>
        <w:jc w:val="both"/>
        <w:rPr>
          <w:highlight w:val="green"/>
        </w:rPr>
      </w:pPr>
    </w:p>
    <w:p w14:paraId="457696A9" w14:textId="77777777" w:rsidR="00C248F1" w:rsidRPr="00044115" w:rsidRDefault="00C248F1" w:rsidP="00C742C9">
      <w:pPr>
        <w:jc w:val="both"/>
        <w:rPr>
          <w:highlight w:val="green"/>
        </w:rPr>
      </w:pPr>
    </w:p>
    <w:p w14:paraId="717EB3EC" w14:textId="77777777" w:rsidR="00C742C9" w:rsidRPr="00F94D87" w:rsidRDefault="00BC5B1D" w:rsidP="00C742C9">
      <w:pPr>
        <w:spacing w:after="240"/>
        <w:jc w:val="both"/>
        <w:rPr>
          <w:b/>
          <w:bCs/>
          <w:sz w:val="28"/>
          <w:szCs w:val="28"/>
        </w:rPr>
      </w:pPr>
      <w:r w:rsidRPr="00F94D87">
        <w:rPr>
          <w:b/>
          <w:bCs/>
          <w:sz w:val="28"/>
          <w:szCs w:val="28"/>
        </w:rPr>
        <w:lastRenderedPageBreak/>
        <w:t>Treasury Management Indicators</w:t>
      </w:r>
    </w:p>
    <w:p w14:paraId="24C95F78" w14:textId="77777777" w:rsidR="00C742C9" w:rsidRPr="00F94D87" w:rsidRDefault="00BC5B1D" w:rsidP="00C742C9">
      <w:pPr>
        <w:spacing w:after="240"/>
        <w:jc w:val="both"/>
        <w:rPr>
          <w:b/>
          <w:bCs/>
        </w:rPr>
      </w:pPr>
      <w:r w:rsidRPr="00F94D87">
        <w:rPr>
          <w:bCs/>
        </w:rPr>
        <w:t xml:space="preserve">In line with the relevant legislation the county council has adopted the Prudential Code for Capital Finance in Local Authorities and the Treasury </w:t>
      </w:r>
      <w:r w:rsidRPr="00F94D87">
        <w:rPr>
          <w:bCs/>
        </w:rPr>
        <w:t>Management in the Public Services Code of Practice (20</w:t>
      </w:r>
      <w:r w:rsidR="00F94D87" w:rsidRPr="00F94D87">
        <w:rPr>
          <w:bCs/>
        </w:rPr>
        <w:t>21</w:t>
      </w:r>
      <w:r w:rsidRPr="00F94D87">
        <w:rPr>
          <w:bCs/>
        </w:rPr>
        <w:t>) as setting the framework of principles for its treasury management activities. In accordance with the requirements of these codes the council produces each year prudential indicators which provide a</w:t>
      </w:r>
      <w:r w:rsidRPr="00F94D87">
        <w:rPr>
          <w:bCs/>
        </w:rPr>
        <w:t xml:space="preserve"> framework for the prudent management of its treasury management including limits with regard to certain types of activity such as borrowing. The indicators below are a consequence of the activities set out within the treasury management strategy. </w:t>
      </w:r>
      <w:r w:rsidRPr="00F94D87">
        <w:rPr>
          <w:b/>
          <w:bCs/>
        </w:rPr>
        <w:t xml:space="preserve"> </w:t>
      </w:r>
    </w:p>
    <w:p w14:paraId="5C604673" w14:textId="77777777" w:rsidR="00C742C9" w:rsidRPr="00664931" w:rsidRDefault="00BC5B1D" w:rsidP="00C742C9">
      <w:pPr>
        <w:jc w:val="both"/>
        <w:rPr>
          <w:b/>
          <w:bCs/>
          <w:i/>
        </w:rPr>
      </w:pPr>
      <w:r w:rsidRPr="00664931">
        <w:rPr>
          <w:b/>
          <w:bCs/>
          <w:i/>
        </w:rPr>
        <w:t>Author</w:t>
      </w:r>
      <w:r w:rsidRPr="00664931">
        <w:rPr>
          <w:b/>
          <w:bCs/>
          <w:i/>
        </w:rPr>
        <w:t xml:space="preserve">ised and </w:t>
      </w:r>
      <w:r w:rsidR="00E96927" w:rsidRPr="00664931">
        <w:rPr>
          <w:b/>
          <w:bCs/>
          <w:i/>
        </w:rPr>
        <w:t>o</w:t>
      </w:r>
      <w:r w:rsidRPr="00664931">
        <w:rPr>
          <w:b/>
          <w:bCs/>
          <w:i/>
        </w:rPr>
        <w:t>perational Limits for debt</w:t>
      </w:r>
    </w:p>
    <w:p w14:paraId="747B8B08" w14:textId="77777777" w:rsidR="00717E3A" w:rsidRPr="00664931" w:rsidRDefault="00717E3A" w:rsidP="00C742C9">
      <w:pPr>
        <w:jc w:val="both"/>
        <w:rPr>
          <w:b/>
          <w:bCs/>
          <w:i/>
        </w:rPr>
      </w:pPr>
    </w:p>
    <w:p w14:paraId="4291A944" w14:textId="77777777" w:rsidR="00C742C9" w:rsidRPr="00664931" w:rsidRDefault="00BC5B1D" w:rsidP="00C742C9">
      <w:pPr>
        <w:jc w:val="both"/>
      </w:pPr>
      <w:r w:rsidRPr="00664931">
        <w:t>The 'authorised limit' is a prudent estimate of external debt</w:t>
      </w:r>
      <w:r w:rsidR="0097530F">
        <w:t xml:space="preserve"> </w:t>
      </w:r>
      <w:r w:rsidRPr="00664931">
        <w:t>but allows sufficient headroom for unusual cash flow movements.  Taking into account the capital plans and estimates of cash flow and its risks, the authori</w:t>
      </w:r>
      <w:r w:rsidRPr="00664931">
        <w:t>sed limits for external debt are as follows:</w:t>
      </w:r>
    </w:p>
    <w:p w14:paraId="69177D2D" w14:textId="77777777" w:rsidR="006B77F3" w:rsidRPr="00664931" w:rsidRDefault="006B77F3" w:rsidP="00C742C9">
      <w:pPr>
        <w:jc w:val="both"/>
      </w:pPr>
    </w:p>
    <w:tbl>
      <w:tblPr>
        <w:tblW w:w="8931" w:type="dxa"/>
        <w:tblLook w:val="04A0" w:firstRow="1" w:lastRow="0" w:firstColumn="1" w:lastColumn="0" w:noHBand="0" w:noVBand="1"/>
      </w:tblPr>
      <w:tblGrid>
        <w:gridCol w:w="2977"/>
        <w:gridCol w:w="1559"/>
        <w:gridCol w:w="1560"/>
        <w:gridCol w:w="1417"/>
        <w:gridCol w:w="1418"/>
      </w:tblGrid>
      <w:tr w:rsidR="00937FCD" w14:paraId="0E452C96" w14:textId="77777777" w:rsidTr="00C742C9">
        <w:trPr>
          <w:trHeight w:val="300"/>
        </w:trPr>
        <w:tc>
          <w:tcPr>
            <w:tcW w:w="2977" w:type="dxa"/>
            <w:tcBorders>
              <w:top w:val="nil"/>
              <w:left w:val="nil"/>
              <w:bottom w:val="nil"/>
              <w:right w:val="nil"/>
            </w:tcBorders>
            <w:shd w:val="clear" w:color="auto" w:fill="auto"/>
            <w:noWrap/>
            <w:vAlign w:val="bottom"/>
            <w:hideMark/>
          </w:tcPr>
          <w:p w14:paraId="452A21A1" w14:textId="77777777" w:rsidR="00A85D41" w:rsidRPr="00664931" w:rsidRDefault="00A85D41" w:rsidP="00A85D41"/>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9081C" w14:textId="77777777" w:rsidR="00A85D41" w:rsidRPr="00664931" w:rsidRDefault="00BC5B1D" w:rsidP="00A85D41">
            <w:pPr>
              <w:jc w:val="center"/>
              <w:rPr>
                <w:color w:val="000000"/>
              </w:rPr>
            </w:pPr>
            <w:r w:rsidRPr="00664931">
              <w:rPr>
                <w:color w:val="000000"/>
              </w:rPr>
              <w:t>2021/22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E990637" w14:textId="77777777" w:rsidR="00A85D41" w:rsidRPr="00664931" w:rsidRDefault="00BC5B1D" w:rsidP="00A85D41">
            <w:pPr>
              <w:jc w:val="center"/>
              <w:rPr>
                <w:color w:val="000000"/>
              </w:rPr>
            </w:pPr>
            <w:r w:rsidRPr="00664931">
              <w:rPr>
                <w:color w:val="000000"/>
              </w:rPr>
              <w:t>2022/23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90697C" w14:textId="77777777" w:rsidR="00A85D41" w:rsidRPr="00664931" w:rsidRDefault="00BC5B1D" w:rsidP="00A85D41">
            <w:pPr>
              <w:jc w:val="center"/>
              <w:rPr>
                <w:color w:val="000000"/>
              </w:rPr>
            </w:pPr>
            <w:r w:rsidRPr="00664931">
              <w:rPr>
                <w:color w:val="000000"/>
              </w:rPr>
              <w:t>2023/24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2B9D79" w14:textId="77777777" w:rsidR="00A85D41" w:rsidRPr="00664931" w:rsidRDefault="00BC5B1D" w:rsidP="00A85D41">
            <w:pPr>
              <w:jc w:val="center"/>
              <w:rPr>
                <w:color w:val="000000"/>
              </w:rPr>
            </w:pPr>
            <w:r w:rsidRPr="00664931">
              <w:rPr>
                <w:color w:val="000000"/>
              </w:rPr>
              <w:t>2024/25</w:t>
            </w:r>
          </w:p>
        </w:tc>
      </w:tr>
      <w:tr w:rsidR="00937FCD" w14:paraId="0F495813" w14:textId="77777777" w:rsidTr="00C742C9">
        <w:trPr>
          <w:trHeight w:val="300"/>
        </w:trPr>
        <w:tc>
          <w:tcPr>
            <w:tcW w:w="2977" w:type="dxa"/>
            <w:tcBorders>
              <w:top w:val="nil"/>
              <w:left w:val="nil"/>
              <w:bottom w:val="nil"/>
              <w:right w:val="nil"/>
            </w:tcBorders>
            <w:shd w:val="clear" w:color="auto" w:fill="auto"/>
            <w:noWrap/>
            <w:vAlign w:val="bottom"/>
            <w:hideMark/>
          </w:tcPr>
          <w:p w14:paraId="0ECC3343" w14:textId="77777777" w:rsidR="00C742C9" w:rsidRPr="00664931" w:rsidRDefault="00C742C9" w:rsidP="00C742C9">
            <w:pPr>
              <w:rPr>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AD750BB" w14:textId="77777777" w:rsidR="00C742C9" w:rsidRPr="00664931" w:rsidRDefault="00BC5B1D" w:rsidP="00C742C9">
            <w:pPr>
              <w:jc w:val="center"/>
              <w:rPr>
                <w:color w:val="000000"/>
              </w:rPr>
            </w:pPr>
            <w:r w:rsidRPr="00664931">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14:paraId="4140E309" w14:textId="77777777" w:rsidR="00C742C9" w:rsidRPr="00664931" w:rsidRDefault="00BC5B1D" w:rsidP="00C742C9">
            <w:pPr>
              <w:jc w:val="center"/>
              <w:rPr>
                <w:color w:val="000000"/>
              </w:rPr>
            </w:pPr>
            <w:r w:rsidRPr="00664931">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14:paraId="7152A696" w14:textId="77777777" w:rsidR="00C742C9" w:rsidRPr="00664931" w:rsidRDefault="00BC5B1D" w:rsidP="00C742C9">
            <w:pPr>
              <w:jc w:val="center"/>
              <w:rPr>
                <w:color w:val="000000"/>
              </w:rPr>
            </w:pPr>
            <w:r w:rsidRPr="00664931">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14:paraId="0ACDABED" w14:textId="77777777" w:rsidR="00C742C9" w:rsidRPr="00664931" w:rsidRDefault="00BC5B1D" w:rsidP="00C742C9">
            <w:pPr>
              <w:jc w:val="center"/>
              <w:rPr>
                <w:color w:val="000000"/>
              </w:rPr>
            </w:pPr>
            <w:r w:rsidRPr="00664931">
              <w:rPr>
                <w:color w:val="000000"/>
              </w:rPr>
              <w:t>£m</w:t>
            </w:r>
          </w:p>
        </w:tc>
      </w:tr>
      <w:tr w:rsidR="00937FCD" w14:paraId="7C54CF8F" w14:textId="77777777" w:rsidTr="00C742C9">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4947E" w14:textId="77777777" w:rsidR="00D006D1" w:rsidRPr="00664931" w:rsidRDefault="00BC5B1D" w:rsidP="00D006D1">
            <w:pPr>
              <w:rPr>
                <w:color w:val="000000"/>
              </w:rPr>
            </w:pPr>
            <w:r w:rsidRPr="00664931">
              <w:rPr>
                <w:color w:val="000000"/>
              </w:rPr>
              <w:t>Borrowing</w:t>
            </w:r>
          </w:p>
        </w:tc>
        <w:tc>
          <w:tcPr>
            <w:tcW w:w="1559" w:type="dxa"/>
            <w:tcBorders>
              <w:top w:val="nil"/>
              <w:left w:val="nil"/>
              <w:bottom w:val="single" w:sz="4" w:space="0" w:color="auto"/>
              <w:right w:val="single" w:sz="4" w:space="0" w:color="auto"/>
            </w:tcBorders>
            <w:shd w:val="clear" w:color="auto" w:fill="auto"/>
            <w:noWrap/>
            <w:vAlign w:val="bottom"/>
          </w:tcPr>
          <w:p w14:paraId="0F81531C" w14:textId="77777777" w:rsidR="00D006D1" w:rsidRPr="00664931" w:rsidRDefault="00BC5B1D" w:rsidP="00D006D1">
            <w:pPr>
              <w:jc w:val="center"/>
              <w:rPr>
                <w:color w:val="000000"/>
              </w:rPr>
            </w:pPr>
            <w:r w:rsidRPr="00664931">
              <w:rPr>
                <w:color w:val="000000"/>
              </w:rPr>
              <w:t>1,600</w:t>
            </w:r>
          </w:p>
        </w:tc>
        <w:tc>
          <w:tcPr>
            <w:tcW w:w="1560" w:type="dxa"/>
            <w:tcBorders>
              <w:top w:val="nil"/>
              <w:left w:val="nil"/>
              <w:bottom w:val="single" w:sz="4" w:space="0" w:color="auto"/>
              <w:right w:val="single" w:sz="4" w:space="0" w:color="auto"/>
            </w:tcBorders>
            <w:shd w:val="clear" w:color="auto" w:fill="auto"/>
            <w:noWrap/>
            <w:vAlign w:val="bottom"/>
          </w:tcPr>
          <w:p w14:paraId="6F5E0886" w14:textId="77777777" w:rsidR="00D006D1" w:rsidRPr="00664931" w:rsidRDefault="00BC5B1D" w:rsidP="00D006D1">
            <w:pPr>
              <w:jc w:val="center"/>
              <w:rPr>
                <w:color w:val="000000"/>
              </w:rPr>
            </w:pPr>
            <w:r w:rsidRPr="00664931">
              <w:rPr>
                <w:color w:val="000000"/>
              </w:rPr>
              <w:t>1,</w:t>
            </w:r>
            <w:r w:rsidR="00664931" w:rsidRPr="00664931">
              <w:rPr>
                <w:color w:val="000000"/>
              </w:rPr>
              <w:t>7</w:t>
            </w:r>
            <w:r w:rsidRPr="00664931">
              <w:rPr>
                <w:color w:val="000000"/>
              </w:rPr>
              <w:t>00</w:t>
            </w:r>
          </w:p>
        </w:tc>
        <w:tc>
          <w:tcPr>
            <w:tcW w:w="1417" w:type="dxa"/>
            <w:tcBorders>
              <w:top w:val="nil"/>
              <w:left w:val="nil"/>
              <w:bottom w:val="single" w:sz="4" w:space="0" w:color="auto"/>
              <w:right w:val="single" w:sz="4" w:space="0" w:color="auto"/>
            </w:tcBorders>
            <w:shd w:val="clear" w:color="auto" w:fill="auto"/>
            <w:noWrap/>
            <w:vAlign w:val="bottom"/>
          </w:tcPr>
          <w:p w14:paraId="0579F518" w14:textId="77777777" w:rsidR="00D006D1" w:rsidRPr="00664931" w:rsidRDefault="00BC5B1D" w:rsidP="00D006D1">
            <w:pPr>
              <w:jc w:val="center"/>
              <w:rPr>
                <w:color w:val="000000"/>
              </w:rPr>
            </w:pPr>
            <w:r w:rsidRPr="00664931">
              <w:rPr>
                <w:color w:val="000000"/>
              </w:rPr>
              <w:t>1,</w:t>
            </w:r>
            <w:r w:rsidR="00664931" w:rsidRPr="00664931">
              <w:rPr>
                <w:color w:val="000000"/>
              </w:rPr>
              <w:t>7</w:t>
            </w:r>
            <w:r w:rsidRPr="00664931">
              <w:rPr>
                <w:color w:val="000000"/>
              </w:rPr>
              <w:t>00</w:t>
            </w:r>
          </w:p>
        </w:tc>
        <w:tc>
          <w:tcPr>
            <w:tcW w:w="1418" w:type="dxa"/>
            <w:tcBorders>
              <w:top w:val="nil"/>
              <w:left w:val="nil"/>
              <w:bottom w:val="single" w:sz="4" w:space="0" w:color="auto"/>
              <w:right w:val="single" w:sz="4" w:space="0" w:color="auto"/>
            </w:tcBorders>
            <w:shd w:val="clear" w:color="auto" w:fill="auto"/>
            <w:noWrap/>
            <w:vAlign w:val="bottom"/>
          </w:tcPr>
          <w:p w14:paraId="32BC494D" w14:textId="77777777" w:rsidR="00D006D1" w:rsidRPr="00664931" w:rsidRDefault="00BC5B1D" w:rsidP="00D006D1">
            <w:pPr>
              <w:jc w:val="center"/>
              <w:rPr>
                <w:color w:val="000000"/>
              </w:rPr>
            </w:pPr>
            <w:r w:rsidRPr="00664931">
              <w:rPr>
                <w:color w:val="000000"/>
              </w:rPr>
              <w:t>1,</w:t>
            </w:r>
            <w:r w:rsidR="00664931" w:rsidRPr="00664931">
              <w:rPr>
                <w:color w:val="000000"/>
              </w:rPr>
              <w:t>7</w:t>
            </w:r>
            <w:r w:rsidRPr="00664931">
              <w:rPr>
                <w:color w:val="000000"/>
              </w:rPr>
              <w:t>00</w:t>
            </w:r>
          </w:p>
        </w:tc>
      </w:tr>
      <w:tr w:rsidR="00937FCD" w14:paraId="01A6A7E2" w14:textId="77777777" w:rsidTr="00C742C9">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CAB90D1" w14:textId="77777777" w:rsidR="00D006D1" w:rsidRPr="00664931" w:rsidRDefault="00BC5B1D" w:rsidP="00D006D1">
            <w:pPr>
              <w:rPr>
                <w:color w:val="000000"/>
              </w:rPr>
            </w:pPr>
            <w:r w:rsidRPr="00664931">
              <w:rPr>
                <w:color w:val="000000"/>
              </w:rPr>
              <w:t>Other long term liabilities</w:t>
            </w:r>
          </w:p>
        </w:tc>
        <w:tc>
          <w:tcPr>
            <w:tcW w:w="1559" w:type="dxa"/>
            <w:tcBorders>
              <w:top w:val="nil"/>
              <w:left w:val="nil"/>
              <w:bottom w:val="single" w:sz="4" w:space="0" w:color="auto"/>
              <w:right w:val="single" w:sz="4" w:space="0" w:color="auto"/>
            </w:tcBorders>
            <w:shd w:val="clear" w:color="auto" w:fill="auto"/>
            <w:noWrap/>
            <w:vAlign w:val="bottom"/>
          </w:tcPr>
          <w:p w14:paraId="3CDF831C" w14:textId="77777777" w:rsidR="00D006D1" w:rsidRPr="00664931" w:rsidRDefault="00BC5B1D" w:rsidP="00D006D1">
            <w:pPr>
              <w:jc w:val="center"/>
              <w:rPr>
                <w:color w:val="000000"/>
              </w:rPr>
            </w:pPr>
            <w:r w:rsidRPr="00664931">
              <w:rPr>
                <w:color w:val="000000"/>
              </w:rPr>
              <w:t xml:space="preserve">   150</w:t>
            </w:r>
          </w:p>
        </w:tc>
        <w:tc>
          <w:tcPr>
            <w:tcW w:w="1560" w:type="dxa"/>
            <w:tcBorders>
              <w:top w:val="nil"/>
              <w:left w:val="nil"/>
              <w:bottom w:val="single" w:sz="4" w:space="0" w:color="auto"/>
              <w:right w:val="single" w:sz="4" w:space="0" w:color="auto"/>
            </w:tcBorders>
            <w:shd w:val="clear" w:color="auto" w:fill="auto"/>
            <w:noWrap/>
            <w:vAlign w:val="bottom"/>
          </w:tcPr>
          <w:p w14:paraId="65B59333" w14:textId="77777777" w:rsidR="00D006D1" w:rsidRPr="00664931" w:rsidRDefault="00BC5B1D" w:rsidP="00F36A2B">
            <w:pPr>
              <w:jc w:val="center"/>
              <w:rPr>
                <w:color w:val="000000"/>
              </w:rPr>
            </w:pPr>
            <w:r w:rsidRPr="00664931">
              <w:rPr>
                <w:color w:val="000000"/>
              </w:rPr>
              <w:t xml:space="preserve">   </w:t>
            </w:r>
            <w:r w:rsidR="00F36A2B" w:rsidRPr="00664931">
              <w:rPr>
                <w:color w:val="000000"/>
              </w:rPr>
              <w:t>400</w:t>
            </w:r>
          </w:p>
        </w:tc>
        <w:tc>
          <w:tcPr>
            <w:tcW w:w="1417" w:type="dxa"/>
            <w:tcBorders>
              <w:top w:val="nil"/>
              <w:left w:val="nil"/>
              <w:bottom w:val="single" w:sz="4" w:space="0" w:color="auto"/>
              <w:right w:val="single" w:sz="4" w:space="0" w:color="auto"/>
            </w:tcBorders>
            <w:shd w:val="clear" w:color="auto" w:fill="auto"/>
            <w:noWrap/>
            <w:vAlign w:val="bottom"/>
          </w:tcPr>
          <w:p w14:paraId="01DCF70E" w14:textId="77777777" w:rsidR="00D006D1" w:rsidRPr="00664931" w:rsidRDefault="00BC5B1D" w:rsidP="00F36A2B">
            <w:pPr>
              <w:jc w:val="center"/>
              <w:rPr>
                <w:color w:val="000000"/>
              </w:rPr>
            </w:pPr>
            <w:r w:rsidRPr="00664931">
              <w:rPr>
                <w:color w:val="000000"/>
              </w:rPr>
              <w:t xml:space="preserve">   </w:t>
            </w:r>
            <w:r w:rsidR="00F36A2B" w:rsidRPr="00664931">
              <w:rPr>
                <w:color w:val="000000"/>
              </w:rPr>
              <w:t>400</w:t>
            </w:r>
          </w:p>
        </w:tc>
        <w:tc>
          <w:tcPr>
            <w:tcW w:w="1418" w:type="dxa"/>
            <w:tcBorders>
              <w:top w:val="nil"/>
              <w:left w:val="nil"/>
              <w:bottom w:val="single" w:sz="4" w:space="0" w:color="auto"/>
              <w:right w:val="single" w:sz="4" w:space="0" w:color="auto"/>
            </w:tcBorders>
            <w:shd w:val="clear" w:color="auto" w:fill="auto"/>
            <w:noWrap/>
            <w:vAlign w:val="bottom"/>
          </w:tcPr>
          <w:p w14:paraId="14FE7A4D" w14:textId="77777777" w:rsidR="00D006D1" w:rsidRPr="00664931" w:rsidRDefault="00BC5B1D" w:rsidP="00F36A2B">
            <w:pPr>
              <w:jc w:val="center"/>
              <w:rPr>
                <w:color w:val="000000"/>
              </w:rPr>
            </w:pPr>
            <w:r w:rsidRPr="00664931">
              <w:rPr>
                <w:color w:val="000000"/>
              </w:rPr>
              <w:t xml:space="preserve">   </w:t>
            </w:r>
            <w:r w:rsidR="00F36A2B" w:rsidRPr="00664931">
              <w:rPr>
                <w:color w:val="000000"/>
              </w:rPr>
              <w:t>400</w:t>
            </w:r>
          </w:p>
        </w:tc>
      </w:tr>
      <w:tr w:rsidR="00937FCD" w14:paraId="5F5AA855" w14:textId="77777777" w:rsidTr="00C742C9">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1832D4A" w14:textId="77777777" w:rsidR="00D006D1" w:rsidRPr="00664931" w:rsidRDefault="00BC5B1D" w:rsidP="00D006D1">
            <w:pPr>
              <w:rPr>
                <w:color w:val="000000"/>
              </w:rPr>
            </w:pPr>
            <w:r w:rsidRPr="00664931">
              <w:rPr>
                <w:color w:val="000000"/>
              </w:rPr>
              <w:t>TOTAL</w:t>
            </w:r>
          </w:p>
        </w:tc>
        <w:tc>
          <w:tcPr>
            <w:tcW w:w="1559" w:type="dxa"/>
            <w:tcBorders>
              <w:top w:val="nil"/>
              <w:left w:val="nil"/>
              <w:bottom w:val="single" w:sz="4" w:space="0" w:color="auto"/>
              <w:right w:val="single" w:sz="4" w:space="0" w:color="auto"/>
            </w:tcBorders>
            <w:shd w:val="clear" w:color="auto" w:fill="DBE5F1" w:themeFill="accent1" w:themeFillTint="33"/>
            <w:noWrap/>
            <w:vAlign w:val="bottom"/>
          </w:tcPr>
          <w:p w14:paraId="506D65D2" w14:textId="77777777" w:rsidR="00D006D1" w:rsidRPr="00664931" w:rsidRDefault="00BC5B1D" w:rsidP="00D006D1">
            <w:pPr>
              <w:jc w:val="center"/>
              <w:rPr>
                <w:color w:val="000000"/>
              </w:rPr>
            </w:pPr>
            <w:r w:rsidRPr="00664931">
              <w:rPr>
                <w:color w:val="000000"/>
              </w:rPr>
              <w:t>1,750</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14:paraId="0FE80AED" w14:textId="77777777" w:rsidR="00D006D1" w:rsidRPr="00664931" w:rsidRDefault="00BC5B1D" w:rsidP="00D006D1">
            <w:pPr>
              <w:jc w:val="center"/>
              <w:rPr>
                <w:color w:val="000000"/>
              </w:rPr>
            </w:pPr>
            <w:r w:rsidRPr="00664931">
              <w:rPr>
                <w:color w:val="000000"/>
              </w:rPr>
              <w:t>2,</w:t>
            </w:r>
            <w:r w:rsidR="00664931" w:rsidRPr="00664931">
              <w:rPr>
                <w:color w:val="000000"/>
              </w:rPr>
              <w:t>1</w:t>
            </w:r>
            <w:r w:rsidRPr="00664931">
              <w:rPr>
                <w:color w:val="000000"/>
              </w:rPr>
              <w:t>00</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14:paraId="53F7CD36" w14:textId="77777777" w:rsidR="00D006D1" w:rsidRPr="00664931" w:rsidRDefault="00BC5B1D" w:rsidP="00D006D1">
            <w:pPr>
              <w:jc w:val="center"/>
              <w:rPr>
                <w:color w:val="000000"/>
              </w:rPr>
            </w:pPr>
            <w:r w:rsidRPr="00664931">
              <w:rPr>
                <w:color w:val="000000"/>
              </w:rPr>
              <w:t>2,</w:t>
            </w:r>
            <w:r w:rsidR="00664931" w:rsidRPr="00664931">
              <w:rPr>
                <w:color w:val="000000"/>
              </w:rPr>
              <w:t>1</w:t>
            </w:r>
            <w:r w:rsidRPr="00664931">
              <w:rPr>
                <w:color w:val="000000"/>
              </w:rPr>
              <w:t>00</w:t>
            </w:r>
          </w:p>
        </w:tc>
        <w:tc>
          <w:tcPr>
            <w:tcW w:w="1418" w:type="dxa"/>
            <w:tcBorders>
              <w:top w:val="nil"/>
              <w:left w:val="nil"/>
              <w:bottom w:val="single" w:sz="4" w:space="0" w:color="auto"/>
              <w:right w:val="single" w:sz="4" w:space="0" w:color="auto"/>
            </w:tcBorders>
            <w:shd w:val="clear" w:color="auto" w:fill="DBE5F1" w:themeFill="accent1" w:themeFillTint="33"/>
            <w:noWrap/>
            <w:vAlign w:val="bottom"/>
          </w:tcPr>
          <w:p w14:paraId="64886369" w14:textId="77777777" w:rsidR="00D006D1" w:rsidRPr="00664931" w:rsidRDefault="00BC5B1D" w:rsidP="00D006D1">
            <w:pPr>
              <w:jc w:val="center"/>
              <w:rPr>
                <w:color w:val="000000"/>
              </w:rPr>
            </w:pPr>
            <w:r w:rsidRPr="00664931">
              <w:rPr>
                <w:color w:val="000000"/>
              </w:rPr>
              <w:t>2,</w:t>
            </w:r>
            <w:r w:rsidR="00664931" w:rsidRPr="00664931">
              <w:rPr>
                <w:color w:val="000000"/>
              </w:rPr>
              <w:t>1</w:t>
            </w:r>
            <w:r w:rsidRPr="00664931">
              <w:rPr>
                <w:color w:val="000000"/>
              </w:rPr>
              <w:t>00</w:t>
            </w:r>
          </w:p>
        </w:tc>
      </w:tr>
    </w:tbl>
    <w:p w14:paraId="33F8A204" w14:textId="77777777" w:rsidR="00C742C9" w:rsidRPr="00044115" w:rsidRDefault="00C742C9" w:rsidP="00C742C9">
      <w:pPr>
        <w:jc w:val="both"/>
        <w:rPr>
          <w:highlight w:val="green"/>
        </w:rPr>
      </w:pPr>
    </w:p>
    <w:p w14:paraId="646C44D3" w14:textId="77777777" w:rsidR="00C742C9" w:rsidRPr="00664931" w:rsidRDefault="00BC5B1D" w:rsidP="00C742C9">
      <w:pPr>
        <w:jc w:val="both"/>
      </w:pPr>
      <w:r>
        <w:t>Changes to a</w:t>
      </w:r>
      <w:r w:rsidRPr="00664931">
        <w:t xml:space="preserve">ccounting </w:t>
      </w:r>
      <w:r w:rsidRPr="00664931">
        <w:t>standards in relation to recording leases</w:t>
      </w:r>
      <w:r w:rsidR="00F36A2B" w:rsidRPr="00664931">
        <w:t xml:space="preserve"> are</w:t>
      </w:r>
      <w:r>
        <w:t xml:space="preserve"> due to be implemented from 1 April 2022.</w:t>
      </w:r>
      <w:r w:rsidRPr="00664931">
        <w:t xml:space="preserve"> In effect more leases will be included on the council's </w:t>
      </w:r>
      <w:r w:rsidR="00812220" w:rsidRPr="00664931">
        <w:t>b</w:t>
      </w:r>
      <w:r w:rsidRPr="00664931">
        <w:t xml:space="preserve">alance </w:t>
      </w:r>
      <w:r w:rsidR="00812220" w:rsidRPr="00664931">
        <w:t>s</w:t>
      </w:r>
      <w:r w:rsidRPr="00664931">
        <w:t>heet and therefore will be included against the other long term liabilities indicators. At this stage wo</w:t>
      </w:r>
      <w:r w:rsidRPr="00664931">
        <w:t>rk is on-going to quantify the impact of the change and therefore the other long term liabilities limits will be subject to change.</w:t>
      </w:r>
    </w:p>
    <w:p w14:paraId="28993689" w14:textId="77777777" w:rsidR="00C742C9" w:rsidRPr="00044115" w:rsidRDefault="00C742C9" w:rsidP="00C742C9">
      <w:pPr>
        <w:jc w:val="both"/>
        <w:rPr>
          <w:highlight w:val="green"/>
        </w:rPr>
      </w:pPr>
    </w:p>
    <w:p w14:paraId="18CDDE1E" w14:textId="77777777" w:rsidR="00C742C9" w:rsidRPr="00664931" w:rsidRDefault="00BC5B1D" w:rsidP="00717E3A">
      <w:pPr>
        <w:jc w:val="both"/>
      </w:pPr>
      <w:r w:rsidRPr="00664931">
        <w:t>The 'operational limit' for external debt is based on the same estimates as the authorised limit.  However, although it ref</w:t>
      </w:r>
      <w:r w:rsidRPr="00664931">
        <w:t xml:space="preserve">lects a prudent estimate of debt, there is no provision for unusual cash flow movements.  In effect, it represents the estimated maximum external debt arising as a consequence of the council's current plans.  As required under the Code, this limit will be </w:t>
      </w:r>
      <w:r w:rsidRPr="00664931">
        <w:t>carefully monitored during the year.  The proposed operational limits for external debt are:</w:t>
      </w:r>
    </w:p>
    <w:p w14:paraId="2CCEEF27" w14:textId="77777777" w:rsidR="00D006D1" w:rsidRPr="00664931" w:rsidRDefault="00D006D1" w:rsidP="00717E3A">
      <w:pPr>
        <w:jc w:val="both"/>
      </w:pPr>
    </w:p>
    <w:p w14:paraId="19B9853C" w14:textId="77777777" w:rsidR="00717E3A" w:rsidRPr="00664931" w:rsidRDefault="00717E3A" w:rsidP="00717E3A">
      <w:pPr>
        <w:jc w:val="both"/>
      </w:pPr>
    </w:p>
    <w:tbl>
      <w:tblPr>
        <w:tblW w:w="8936" w:type="dxa"/>
        <w:tblInd w:w="-5" w:type="dxa"/>
        <w:tblLayout w:type="fixed"/>
        <w:tblLook w:val="0000" w:firstRow="0" w:lastRow="0" w:firstColumn="0" w:lastColumn="0" w:noHBand="0" w:noVBand="0"/>
      </w:tblPr>
      <w:tblGrid>
        <w:gridCol w:w="2977"/>
        <w:gridCol w:w="1564"/>
        <w:gridCol w:w="1560"/>
        <w:gridCol w:w="1417"/>
        <w:gridCol w:w="1418"/>
      </w:tblGrid>
      <w:tr w:rsidR="00937FCD" w14:paraId="0E4AE5E8" w14:textId="77777777" w:rsidTr="00C742C9">
        <w:trPr>
          <w:trHeight w:val="300"/>
        </w:trPr>
        <w:tc>
          <w:tcPr>
            <w:tcW w:w="2977" w:type="dxa"/>
            <w:tcBorders>
              <w:top w:val="nil"/>
              <w:left w:val="nil"/>
              <w:bottom w:val="nil"/>
              <w:right w:val="nil"/>
            </w:tcBorders>
            <w:shd w:val="clear" w:color="auto" w:fill="auto"/>
            <w:noWrap/>
            <w:vAlign w:val="bottom"/>
            <w:hideMark/>
          </w:tcPr>
          <w:p w14:paraId="7D390F02" w14:textId="77777777" w:rsidR="00A85D41" w:rsidRPr="00664931" w:rsidRDefault="00A85D41" w:rsidP="00A85D41"/>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1B31F" w14:textId="77777777" w:rsidR="00A85D41" w:rsidRPr="00664931" w:rsidRDefault="00BC5B1D" w:rsidP="00A85D41">
            <w:pPr>
              <w:jc w:val="center"/>
              <w:rPr>
                <w:color w:val="000000"/>
              </w:rPr>
            </w:pPr>
            <w:r w:rsidRPr="00664931">
              <w:rPr>
                <w:color w:val="000000"/>
              </w:rPr>
              <w:t>2021/22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9415540" w14:textId="77777777" w:rsidR="00A85D41" w:rsidRPr="00664931" w:rsidRDefault="00BC5B1D" w:rsidP="00A85D41">
            <w:pPr>
              <w:jc w:val="center"/>
              <w:rPr>
                <w:color w:val="000000"/>
              </w:rPr>
            </w:pPr>
            <w:r w:rsidRPr="00664931">
              <w:rPr>
                <w:color w:val="000000"/>
              </w:rPr>
              <w:t>2022/23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703970" w14:textId="77777777" w:rsidR="00A85D41" w:rsidRPr="00664931" w:rsidRDefault="00BC5B1D" w:rsidP="00A85D41">
            <w:pPr>
              <w:jc w:val="center"/>
              <w:rPr>
                <w:color w:val="000000"/>
              </w:rPr>
            </w:pPr>
            <w:r w:rsidRPr="00664931">
              <w:rPr>
                <w:color w:val="000000"/>
              </w:rPr>
              <w:t>2023/24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585894" w14:textId="77777777" w:rsidR="00A85D41" w:rsidRPr="00664931" w:rsidRDefault="00BC5B1D" w:rsidP="00A85D41">
            <w:pPr>
              <w:jc w:val="center"/>
              <w:rPr>
                <w:color w:val="000000"/>
              </w:rPr>
            </w:pPr>
            <w:r w:rsidRPr="00664931">
              <w:rPr>
                <w:color w:val="000000"/>
              </w:rPr>
              <w:t>2024/25</w:t>
            </w:r>
          </w:p>
        </w:tc>
      </w:tr>
      <w:tr w:rsidR="00937FCD" w14:paraId="678D7967" w14:textId="77777777" w:rsidTr="00C742C9">
        <w:trPr>
          <w:trHeight w:val="300"/>
        </w:trPr>
        <w:tc>
          <w:tcPr>
            <w:tcW w:w="2977" w:type="dxa"/>
            <w:tcBorders>
              <w:top w:val="nil"/>
              <w:left w:val="nil"/>
              <w:bottom w:val="nil"/>
              <w:right w:val="nil"/>
            </w:tcBorders>
            <w:shd w:val="clear" w:color="auto" w:fill="auto"/>
            <w:noWrap/>
            <w:vAlign w:val="bottom"/>
            <w:hideMark/>
          </w:tcPr>
          <w:p w14:paraId="6A62BB56" w14:textId="77777777" w:rsidR="00A85D41" w:rsidRPr="00664931" w:rsidRDefault="00A85D41" w:rsidP="00A85D41">
            <w:pPr>
              <w:rPr>
                <w:color w:val="000000"/>
              </w:rPr>
            </w:pP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14:paraId="68B9CC13" w14:textId="77777777" w:rsidR="00A85D41" w:rsidRPr="00664931" w:rsidRDefault="00BC5B1D" w:rsidP="00A85D41">
            <w:pPr>
              <w:jc w:val="center"/>
              <w:rPr>
                <w:color w:val="000000"/>
              </w:rPr>
            </w:pPr>
            <w:r w:rsidRPr="00664931">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14:paraId="3AD6DC14" w14:textId="77777777" w:rsidR="00A85D41" w:rsidRPr="00664931" w:rsidRDefault="00BC5B1D" w:rsidP="00A85D41">
            <w:pPr>
              <w:jc w:val="center"/>
              <w:rPr>
                <w:color w:val="000000"/>
              </w:rPr>
            </w:pPr>
            <w:r w:rsidRPr="00664931">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14:paraId="5FC5C9AC" w14:textId="77777777" w:rsidR="00A85D41" w:rsidRPr="00664931" w:rsidRDefault="00BC5B1D" w:rsidP="00A85D41">
            <w:pPr>
              <w:jc w:val="center"/>
              <w:rPr>
                <w:color w:val="000000"/>
              </w:rPr>
            </w:pPr>
            <w:r w:rsidRPr="00664931">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14:paraId="41D6C697" w14:textId="77777777" w:rsidR="00A85D41" w:rsidRPr="00664931" w:rsidRDefault="00BC5B1D" w:rsidP="00A85D41">
            <w:pPr>
              <w:jc w:val="center"/>
              <w:rPr>
                <w:color w:val="000000"/>
              </w:rPr>
            </w:pPr>
            <w:r w:rsidRPr="00664931">
              <w:rPr>
                <w:color w:val="000000"/>
              </w:rPr>
              <w:t>£m</w:t>
            </w:r>
          </w:p>
        </w:tc>
      </w:tr>
      <w:tr w:rsidR="00937FCD" w14:paraId="21404426" w14:textId="77777777" w:rsidTr="00C742C9">
        <w:trPr>
          <w:trHeight w:val="341"/>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497F" w14:textId="77777777" w:rsidR="00D006D1" w:rsidRPr="00664931" w:rsidRDefault="00BC5B1D" w:rsidP="00D006D1">
            <w:pPr>
              <w:rPr>
                <w:color w:val="000000"/>
              </w:rPr>
            </w:pPr>
            <w:r w:rsidRPr="00664931">
              <w:rPr>
                <w:color w:val="000000"/>
              </w:rPr>
              <w:t>Borrowing</w:t>
            </w:r>
          </w:p>
        </w:tc>
        <w:tc>
          <w:tcPr>
            <w:tcW w:w="1564" w:type="dxa"/>
            <w:tcBorders>
              <w:top w:val="nil"/>
              <w:left w:val="nil"/>
              <w:bottom w:val="single" w:sz="4" w:space="0" w:color="auto"/>
              <w:right w:val="single" w:sz="4" w:space="0" w:color="auto"/>
            </w:tcBorders>
            <w:shd w:val="clear" w:color="auto" w:fill="auto"/>
            <w:noWrap/>
            <w:vAlign w:val="bottom"/>
          </w:tcPr>
          <w:p w14:paraId="304B6840" w14:textId="77777777" w:rsidR="00D006D1" w:rsidRPr="00664931" w:rsidRDefault="00BC5B1D" w:rsidP="00D006D1">
            <w:pPr>
              <w:jc w:val="center"/>
              <w:rPr>
                <w:color w:val="000000"/>
              </w:rPr>
            </w:pPr>
            <w:r w:rsidRPr="00664931">
              <w:rPr>
                <w:color w:val="000000"/>
              </w:rPr>
              <w:t>1,200</w:t>
            </w:r>
          </w:p>
        </w:tc>
        <w:tc>
          <w:tcPr>
            <w:tcW w:w="1560" w:type="dxa"/>
            <w:tcBorders>
              <w:top w:val="nil"/>
              <w:left w:val="nil"/>
              <w:bottom w:val="single" w:sz="4" w:space="0" w:color="auto"/>
              <w:right w:val="single" w:sz="4" w:space="0" w:color="auto"/>
            </w:tcBorders>
            <w:shd w:val="clear" w:color="auto" w:fill="auto"/>
            <w:noWrap/>
            <w:vAlign w:val="bottom"/>
          </w:tcPr>
          <w:p w14:paraId="57EB344B" w14:textId="77777777" w:rsidR="00D006D1" w:rsidRPr="00664931" w:rsidRDefault="00BC5B1D" w:rsidP="00D006D1">
            <w:pPr>
              <w:jc w:val="center"/>
              <w:rPr>
                <w:color w:val="000000"/>
              </w:rPr>
            </w:pPr>
            <w:r w:rsidRPr="00664931">
              <w:rPr>
                <w:color w:val="000000"/>
              </w:rPr>
              <w:t>1,</w:t>
            </w:r>
            <w:r w:rsidR="0050205A">
              <w:rPr>
                <w:color w:val="000000"/>
              </w:rPr>
              <w:t>3</w:t>
            </w:r>
            <w:r w:rsidRPr="00664931">
              <w:rPr>
                <w:color w:val="000000"/>
              </w:rPr>
              <w:t>00</w:t>
            </w:r>
          </w:p>
        </w:tc>
        <w:tc>
          <w:tcPr>
            <w:tcW w:w="1417" w:type="dxa"/>
            <w:tcBorders>
              <w:top w:val="nil"/>
              <w:left w:val="nil"/>
              <w:bottom w:val="single" w:sz="4" w:space="0" w:color="auto"/>
              <w:right w:val="single" w:sz="4" w:space="0" w:color="auto"/>
            </w:tcBorders>
            <w:shd w:val="clear" w:color="auto" w:fill="auto"/>
            <w:noWrap/>
            <w:vAlign w:val="bottom"/>
          </w:tcPr>
          <w:p w14:paraId="7542014D" w14:textId="77777777" w:rsidR="00D006D1" w:rsidRPr="00664931" w:rsidRDefault="00BC5B1D" w:rsidP="00D006D1">
            <w:pPr>
              <w:jc w:val="center"/>
              <w:rPr>
                <w:color w:val="000000"/>
              </w:rPr>
            </w:pPr>
            <w:r w:rsidRPr="00664931">
              <w:rPr>
                <w:color w:val="000000"/>
              </w:rPr>
              <w:t>1,</w:t>
            </w:r>
            <w:r w:rsidR="0050205A">
              <w:rPr>
                <w:color w:val="000000"/>
              </w:rPr>
              <w:t>3</w:t>
            </w:r>
            <w:r w:rsidRPr="00664931">
              <w:rPr>
                <w:color w:val="000000"/>
              </w:rPr>
              <w:t>00</w:t>
            </w:r>
          </w:p>
        </w:tc>
        <w:tc>
          <w:tcPr>
            <w:tcW w:w="1418" w:type="dxa"/>
            <w:tcBorders>
              <w:top w:val="nil"/>
              <w:left w:val="nil"/>
              <w:bottom w:val="single" w:sz="4" w:space="0" w:color="auto"/>
              <w:right w:val="single" w:sz="4" w:space="0" w:color="auto"/>
            </w:tcBorders>
            <w:shd w:val="clear" w:color="auto" w:fill="auto"/>
            <w:noWrap/>
            <w:vAlign w:val="bottom"/>
          </w:tcPr>
          <w:p w14:paraId="0038E1EF" w14:textId="77777777" w:rsidR="00D006D1" w:rsidRPr="00664931" w:rsidRDefault="00BC5B1D" w:rsidP="00D006D1">
            <w:pPr>
              <w:jc w:val="center"/>
              <w:rPr>
                <w:color w:val="000000"/>
              </w:rPr>
            </w:pPr>
            <w:r w:rsidRPr="00664931">
              <w:rPr>
                <w:color w:val="000000"/>
              </w:rPr>
              <w:t>1,</w:t>
            </w:r>
            <w:r w:rsidR="0050205A">
              <w:rPr>
                <w:color w:val="000000"/>
              </w:rPr>
              <w:t>3</w:t>
            </w:r>
            <w:r w:rsidRPr="00664931">
              <w:rPr>
                <w:color w:val="000000"/>
              </w:rPr>
              <w:t>00</w:t>
            </w:r>
          </w:p>
        </w:tc>
      </w:tr>
      <w:tr w:rsidR="00937FCD" w14:paraId="036BD944" w14:textId="77777777" w:rsidTr="00C742C9">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98333BB" w14:textId="77777777" w:rsidR="00D006D1" w:rsidRPr="00664931" w:rsidRDefault="00BC5B1D" w:rsidP="00D006D1">
            <w:pPr>
              <w:rPr>
                <w:color w:val="000000"/>
              </w:rPr>
            </w:pPr>
            <w:r w:rsidRPr="00664931">
              <w:rPr>
                <w:color w:val="000000"/>
              </w:rPr>
              <w:t>Other long</w:t>
            </w:r>
            <w:r w:rsidR="0097530F">
              <w:rPr>
                <w:color w:val="000000"/>
              </w:rPr>
              <w:t>-</w:t>
            </w:r>
            <w:r w:rsidRPr="00664931">
              <w:rPr>
                <w:color w:val="000000"/>
              </w:rPr>
              <w:t>term liabilities</w:t>
            </w:r>
          </w:p>
        </w:tc>
        <w:tc>
          <w:tcPr>
            <w:tcW w:w="1564" w:type="dxa"/>
            <w:tcBorders>
              <w:top w:val="nil"/>
              <w:left w:val="nil"/>
              <w:bottom w:val="single" w:sz="4" w:space="0" w:color="auto"/>
              <w:right w:val="single" w:sz="4" w:space="0" w:color="auto"/>
            </w:tcBorders>
            <w:shd w:val="clear" w:color="auto" w:fill="auto"/>
            <w:noWrap/>
            <w:vAlign w:val="bottom"/>
          </w:tcPr>
          <w:p w14:paraId="7964718F" w14:textId="77777777" w:rsidR="00D006D1" w:rsidRPr="00664931" w:rsidRDefault="00BC5B1D" w:rsidP="00D006D1">
            <w:pPr>
              <w:jc w:val="center"/>
              <w:rPr>
                <w:color w:val="000000"/>
              </w:rPr>
            </w:pPr>
            <w:r w:rsidRPr="00664931">
              <w:rPr>
                <w:color w:val="000000"/>
              </w:rPr>
              <w:t xml:space="preserve">   150</w:t>
            </w:r>
          </w:p>
        </w:tc>
        <w:tc>
          <w:tcPr>
            <w:tcW w:w="1560" w:type="dxa"/>
            <w:tcBorders>
              <w:top w:val="nil"/>
              <w:left w:val="nil"/>
              <w:bottom w:val="single" w:sz="4" w:space="0" w:color="auto"/>
              <w:right w:val="single" w:sz="4" w:space="0" w:color="auto"/>
            </w:tcBorders>
            <w:shd w:val="clear" w:color="auto" w:fill="auto"/>
            <w:noWrap/>
            <w:vAlign w:val="bottom"/>
          </w:tcPr>
          <w:p w14:paraId="1D6578FB" w14:textId="77777777" w:rsidR="00D006D1" w:rsidRPr="00664931" w:rsidRDefault="00BC5B1D" w:rsidP="00D006D1">
            <w:pPr>
              <w:jc w:val="center"/>
              <w:rPr>
                <w:color w:val="000000"/>
              </w:rPr>
            </w:pPr>
            <w:r w:rsidRPr="00664931">
              <w:rPr>
                <w:color w:val="000000"/>
              </w:rPr>
              <w:t xml:space="preserve">   1</w:t>
            </w:r>
            <w:r w:rsidR="00664931">
              <w:rPr>
                <w:color w:val="000000"/>
              </w:rPr>
              <w:t>6</w:t>
            </w:r>
            <w:r w:rsidRPr="00664931">
              <w:rPr>
                <w:color w:val="000000"/>
              </w:rPr>
              <w:t>0</w:t>
            </w:r>
          </w:p>
        </w:tc>
        <w:tc>
          <w:tcPr>
            <w:tcW w:w="1417" w:type="dxa"/>
            <w:tcBorders>
              <w:top w:val="nil"/>
              <w:left w:val="nil"/>
              <w:bottom w:val="single" w:sz="4" w:space="0" w:color="auto"/>
              <w:right w:val="single" w:sz="4" w:space="0" w:color="auto"/>
            </w:tcBorders>
            <w:shd w:val="clear" w:color="auto" w:fill="auto"/>
            <w:noWrap/>
            <w:vAlign w:val="bottom"/>
          </w:tcPr>
          <w:p w14:paraId="58DEFCBD" w14:textId="77777777" w:rsidR="00D006D1" w:rsidRPr="00664931" w:rsidRDefault="00BC5B1D" w:rsidP="00D006D1">
            <w:pPr>
              <w:jc w:val="center"/>
              <w:rPr>
                <w:color w:val="000000"/>
              </w:rPr>
            </w:pPr>
            <w:r w:rsidRPr="00664931">
              <w:rPr>
                <w:color w:val="000000"/>
              </w:rPr>
              <w:t xml:space="preserve">   1</w:t>
            </w:r>
            <w:r w:rsidR="00664931">
              <w:rPr>
                <w:color w:val="000000"/>
              </w:rPr>
              <w:t>6</w:t>
            </w:r>
            <w:r w:rsidRPr="00664931">
              <w:rPr>
                <w:color w:val="000000"/>
              </w:rPr>
              <w:t>0</w:t>
            </w:r>
          </w:p>
        </w:tc>
        <w:tc>
          <w:tcPr>
            <w:tcW w:w="1418" w:type="dxa"/>
            <w:tcBorders>
              <w:top w:val="nil"/>
              <w:left w:val="nil"/>
              <w:bottom w:val="single" w:sz="4" w:space="0" w:color="auto"/>
              <w:right w:val="single" w:sz="4" w:space="0" w:color="auto"/>
            </w:tcBorders>
            <w:shd w:val="clear" w:color="auto" w:fill="auto"/>
            <w:noWrap/>
            <w:vAlign w:val="bottom"/>
          </w:tcPr>
          <w:p w14:paraId="7D92CA67" w14:textId="77777777" w:rsidR="00D006D1" w:rsidRPr="00664931" w:rsidRDefault="00BC5B1D" w:rsidP="00D006D1">
            <w:pPr>
              <w:jc w:val="center"/>
              <w:rPr>
                <w:color w:val="000000"/>
              </w:rPr>
            </w:pPr>
            <w:r w:rsidRPr="00664931">
              <w:rPr>
                <w:color w:val="000000"/>
              </w:rPr>
              <w:t xml:space="preserve">   1</w:t>
            </w:r>
            <w:r w:rsidR="00664931">
              <w:rPr>
                <w:color w:val="000000"/>
              </w:rPr>
              <w:t>6</w:t>
            </w:r>
            <w:r w:rsidRPr="00664931">
              <w:rPr>
                <w:color w:val="000000"/>
              </w:rPr>
              <w:t>0</w:t>
            </w:r>
          </w:p>
        </w:tc>
      </w:tr>
      <w:tr w:rsidR="00937FCD" w14:paraId="09F18370" w14:textId="77777777" w:rsidTr="00C742C9">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B7AC551" w14:textId="77777777" w:rsidR="00D006D1" w:rsidRPr="00664931" w:rsidRDefault="00BC5B1D" w:rsidP="00D006D1">
            <w:pPr>
              <w:rPr>
                <w:color w:val="000000"/>
              </w:rPr>
            </w:pPr>
            <w:r w:rsidRPr="00664931">
              <w:rPr>
                <w:color w:val="000000"/>
              </w:rPr>
              <w:t>TOTAL</w:t>
            </w:r>
          </w:p>
        </w:tc>
        <w:tc>
          <w:tcPr>
            <w:tcW w:w="1564" w:type="dxa"/>
            <w:tcBorders>
              <w:top w:val="nil"/>
              <w:left w:val="nil"/>
              <w:bottom w:val="single" w:sz="4" w:space="0" w:color="auto"/>
              <w:right w:val="single" w:sz="4" w:space="0" w:color="auto"/>
            </w:tcBorders>
            <w:shd w:val="clear" w:color="auto" w:fill="DBE5F1" w:themeFill="accent1" w:themeFillTint="33"/>
            <w:noWrap/>
            <w:vAlign w:val="bottom"/>
          </w:tcPr>
          <w:p w14:paraId="0FF0966F" w14:textId="77777777" w:rsidR="00D006D1" w:rsidRPr="00664931" w:rsidRDefault="00BC5B1D" w:rsidP="00D006D1">
            <w:pPr>
              <w:jc w:val="center"/>
              <w:rPr>
                <w:color w:val="000000"/>
              </w:rPr>
            </w:pPr>
            <w:r w:rsidRPr="00664931">
              <w:rPr>
                <w:color w:val="000000"/>
              </w:rPr>
              <w:t>1,350</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14:paraId="1BC7EA48" w14:textId="77777777" w:rsidR="00D006D1" w:rsidRPr="00664931" w:rsidRDefault="00BC5B1D" w:rsidP="00D006D1">
            <w:pPr>
              <w:jc w:val="center"/>
              <w:rPr>
                <w:color w:val="000000"/>
              </w:rPr>
            </w:pPr>
            <w:r w:rsidRPr="00664931">
              <w:rPr>
                <w:color w:val="000000"/>
              </w:rPr>
              <w:t>1,</w:t>
            </w:r>
            <w:r w:rsidR="0050205A">
              <w:rPr>
                <w:color w:val="000000"/>
              </w:rPr>
              <w:t>4</w:t>
            </w:r>
            <w:r w:rsidR="00664931">
              <w:rPr>
                <w:color w:val="000000"/>
              </w:rPr>
              <w:t>6</w:t>
            </w:r>
            <w:r w:rsidRPr="00664931">
              <w:rPr>
                <w:color w:val="000000"/>
              </w:rPr>
              <w:t>0</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14:paraId="5F738A58" w14:textId="77777777" w:rsidR="00D006D1" w:rsidRPr="00664931" w:rsidRDefault="00BC5B1D" w:rsidP="00D006D1">
            <w:pPr>
              <w:jc w:val="center"/>
              <w:rPr>
                <w:color w:val="000000"/>
              </w:rPr>
            </w:pPr>
            <w:r w:rsidRPr="00664931">
              <w:rPr>
                <w:color w:val="000000"/>
              </w:rPr>
              <w:t>1,</w:t>
            </w:r>
            <w:r w:rsidR="0050205A">
              <w:rPr>
                <w:color w:val="000000"/>
              </w:rPr>
              <w:t>4</w:t>
            </w:r>
            <w:r w:rsidR="00664931">
              <w:rPr>
                <w:color w:val="000000"/>
              </w:rPr>
              <w:t>6</w:t>
            </w:r>
            <w:r w:rsidRPr="00664931">
              <w:rPr>
                <w:color w:val="000000"/>
              </w:rPr>
              <w:t>0</w:t>
            </w:r>
          </w:p>
        </w:tc>
        <w:tc>
          <w:tcPr>
            <w:tcW w:w="1418" w:type="dxa"/>
            <w:tcBorders>
              <w:top w:val="nil"/>
              <w:left w:val="nil"/>
              <w:bottom w:val="single" w:sz="4" w:space="0" w:color="auto"/>
              <w:right w:val="single" w:sz="4" w:space="0" w:color="auto"/>
            </w:tcBorders>
            <w:shd w:val="clear" w:color="auto" w:fill="DBE5F1" w:themeFill="accent1" w:themeFillTint="33"/>
            <w:noWrap/>
            <w:vAlign w:val="bottom"/>
          </w:tcPr>
          <w:p w14:paraId="6E8F4907" w14:textId="77777777" w:rsidR="00D006D1" w:rsidRPr="00664931" w:rsidRDefault="00BC5B1D" w:rsidP="00D006D1">
            <w:pPr>
              <w:jc w:val="center"/>
              <w:rPr>
                <w:color w:val="000000"/>
              </w:rPr>
            </w:pPr>
            <w:r w:rsidRPr="00664931">
              <w:rPr>
                <w:color w:val="000000"/>
              </w:rPr>
              <w:t>1,</w:t>
            </w:r>
            <w:r w:rsidR="0050205A">
              <w:rPr>
                <w:color w:val="000000"/>
              </w:rPr>
              <w:t>4</w:t>
            </w:r>
            <w:r w:rsidR="00664931">
              <w:rPr>
                <w:color w:val="000000"/>
              </w:rPr>
              <w:t>6</w:t>
            </w:r>
            <w:r w:rsidRPr="00664931">
              <w:rPr>
                <w:color w:val="000000"/>
              </w:rPr>
              <w:t>0</w:t>
            </w:r>
          </w:p>
        </w:tc>
      </w:tr>
    </w:tbl>
    <w:p w14:paraId="114C16C3" w14:textId="77777777" w:rsidR="00C742C9" w:rsidRPr="00044115" w:rsidRDefault="00C742C9" w:rsidP="00C742C9">
      <w:pPr>
        <w:jc w:val="both"/>
        <w:rPr>
          <w:bCs/>
          <w:highlight w:val="green"/>
        </w:rPr>
      </w:pPr>
    </w:p>
    <w:p w14:paraId="2F11FDB9" w14:textId="77777777" w:rsidR="00C742C9" w:rsidRDefault="00BC5B1D" w:rsidP="00C742C9">
      <w:pPr>
        <w:jc w:val="both"/>
        <w:rPr>
          <w:bCs/>
        </w:rPr>
      </w:pPr>
      <w:r w:rsidRPr="003021E4">
        <w:rPr>
          <w:bCs/>
        </w:rPr>
        <w:t>The actua</w:t>
      </w:r>
      <w:r w:rsidR="0023417A" w:rsidRPr="003021E4">
        <w:rPr>
          <w:bCs/>
        </w:rPr>
        <w:t xml:space="preserve">l external debt </w:t>
      </w:r>
      <w:r w:rsidR="00A85D41">
        <w:rPr>
          <w:bCs/>
        </w:rPr>
        <w:t xml:space="preserve">as </w:t>
      </w:r>
      <w:r w:rsidR="0023417A" w:rsidRPr="003021E4">
        <w:rPr>
          <w:bCs/>
        </w:rPr>
        <w:t>at 31 March 202</w:t>
      </w:r>
      <w:r w:rsidR="003021E4" w:rsidRPr="003021E4">
        <w:rPr>
          <w:bCs/>
        </w:rPr>
        <w:t>1</w:t>
      </w:r>
      <w:r w:rsidRPr="003021E4">
        <w:rPr>
          <w:bCs/>
        </w:rPr>
        <w:t xml:space="preserve"> </w:t>
      </w:r>
      <w:r w:rsidR="004F4E88" w:rsidRPr="003021E4">
        <w:rPr>
          <w:bCs/>
        </w:rPr>
        <w:t>was £1,</w:t>
      </w:r>
      <w:r w:rsidR="003021E4" w:rsidRPr="003021E4">
        <w:rPr>
          <w:bCs/>
        </w:rPr>
        <w:t>386</w:t>
      </w:r>
      <w:r w:rsidRPr="003021E4">
        <w:rPr>
          <w:bCs/>
        </w:rPr>
        <w:t>m.</w:t>
      </w:r>
    </w:p>
    <w:p w14:paraId="603F759A" w14:textId="77777777" w:rsidR="00C248F1" w:rsidRPr="003021E4" w:rsidRDefault="00C248F1" w:rsidP="00C742C9">
      <w:pPr>
        <w:jc w:val="both"/>
        <w:rPr>
          <w:bCs/>
        </w:rPr>
      </w:pPr>
    </w:p>
    <w:p w14:paraId="7D8F7526" w14:textId="77777777" w:rsidR="007A63A0" w:rsidRPr="00044115" w:rsidRDefault="007A63A0" w:rsidP="00C742C9">
      <w:pPr>
        <w:jc w:val="both"/>
        <w:rPr>
          <w:bCs/>
          <w:highlight w:val="green"/>
        </w:rPr>
      </w:pPr>
    </w:p>
    <w:p w14:paraId="038E3BB4" w14:textId="77777777" w:rsidR="00C742C9" w:rsidRPr="0050205A" w:rsidRDefault="00BC5B1D" w:rsidP="00C742C9">
      <w:pPr>
        <w:jc w:val="both"/>
        <w:rPr>
          <w:b/>
          <w:bCs/>
          <w:i/>
        </w:rPr>
      </w:pPr>
      <w:r w:rsidRPr="0050205A">
        <w:rPr>
          <w:b/>
          <w:bCs/>
          <w:i/>
        </w:rPr>
        <w:lastRenderedPageBreak/>
        <w:t xml:space="preserve">Gross debt and the </w:t>
      </w:r>
      <w:r w:rsidR="00735451" w:rsidRPr="0050205A">
        <w:rPr>
          <w:b/>
          <w:bCs/>
          <w:i/>
        </w:rPr>
        <w:t>c</w:t>
      </w:r>
      <w:r w:rsidRPr="0050205A">
        <w:rPr>
          <w:b/>
          <w:bCs/>
          <w:i/>
        </w:rPr>
        <w:t xml:space="preserve">apital </w:t>
      </w:r>
      <w:r w:rsidR="00735451" w:rsidRPr="0050205A">
        <w:rPr>
          <w:b/>
          <w:bCs/>
          <w:i/>
        </w:rPr>
        <w:t>f</w:t>
      </w:r>
      <w:r w:rsidRPr="0050205A">
        <w:rPr>
          <w:b/>
          <w:bCs/>
          <w:i/>
        </w:rPr>
        <w:t xml:space="preserve">inancing </w:t>
      </w:r>
      <w:r w:rsidR="00735451" w:rsidRPr="0050205A">
        <w:rPr>
          <w:b/>
          <w:bCs/>
          <w:i/>
        </w:rPr>
        <w:t>r</w:t>
      </w:r>
      <w:r w:rsidRPr="0050205A">
        <w:rPr>
          <w:b/>
          <w:bCs/>
          <w:i/>
        </w:rPr>
        <w:t>equirement</w:t>
      </w:r>
      <w:r w:rsidR="00812220" w:rsidRPr="0050205A">
        <w:rPr>
          <w:b/>
          <w:bCs/>
          <w:i/>
        </w:rPr>
        <w:t xml:space="preserve"> (</w:t>
      </w:r>
      <w:r w:rsidR="006D1274" w:rsidRPr="0050205A">
        <w:rPr>
          <w:b/>
          <w:bCs/>
          <w:i/>
        </w:rPr>
        <w:t>capital financing requirement</w:t>
      </w:r>
      <w:r w:rsidR="00812220" w:rsidRPr="0050205A">
        <w:rPr>
          <w:b/>
          <w:bCs/>
          <w:i/>
        </w:rPr>
        <w:t>)</w:t>
      </w:r>
      <w:r w:rsidRPr="0050205A">
        <w:rPr>
          <w:b/>
          <w:bCs/>
          <w:i/>
        </w:rPr>
        <w:t xml:space="preserve"> </w:t>
      </w:r>
    </w:p>
    <w:p w14:paraId="0295167A" w14:textId="77777777" w:rsidR="00717E3A" w:rsidRPr="00A85D41" w:rsidRDefault="00717E3A" w:rsidP="00C742C9">
      <w:pPr>
        <w:jc w:val="both"/>
        <w:rPr>
          <w:b/>
          <w:bCs/>
          <w:i/>
        </w:rPr>
      </w:pPr>
    </w:p>
    <w:p w14:paraId="2C8BEEA2" w14:textId="77777777" w:rsidR="00C742C9" w:rsidRDefault="00BC5B1D" w:rsidP="00C742C9">
      <w:pPr>
        <w:jc w:val="both"/>
        <w:rPr>
          <w:bCs/>
        </w:rPr>
      </w:pPr>
      <w:r w:rsidRPr="00A85D41">
        <w:rPr>
          <w:bCs/>
        </w:rPr>
        <w:t xml:space="preserve">CIPFA’s Prudential Code for Capital Finance in Local Authorities recommends that the authority’s total debt should be lower than its highest forecast </w:t>
      </w:r>
      <w:r w:rsidR="006D1274" w:rsidRPr="00A85D41">
        <w:rPr>
          <w:bCs/>
        </w:rPr>
        <w:t xml:space="preserve">capital financing requirement </w:t>
      </w:r>
      <w:r w:rsidRPr="00A85D41">
        <w:rPr>
          <w:bCs/>
        </w:rPr>
        <w:t>over the next three years. The county council</w:t>
      </w:r>
      <w:r w:rsidR="00812220" w:rsidRPr="00A85D41">
        <w:rPr>
          <w:bCs/>
        </w:rPr>
        <w:t>'</w:t>
      </w:r>
      <w:r w:rsidRPr="00A85D41">
        <w:rPr>
          <w:bCs/>
        </w:rPr>
        <w:t>s borrowing is in excess of th</w:t>
      </w:r>
      <w:r w:rsidRPr="00A85D41">
        <w:rPr>
          <w:bCs/>
        </w:rPr>
        <w:t xml:space="preserve">e </w:t>
      </w:r>
      <w:r w:rsidR="006D1274" w:rsidRPr="00A85D41">
        <w:rPr>
          <w:bCs/>
        </w:rPr>
        <w:t xml:space="preserve">capital financing requirement </w:t>
      </w:r>
      <w:r w:rsidRPr="00A85D41">
        <w:rPr>
          <w:bCs/>
        </w:rPr>
        <w:t xml:space="preserve">however, in making this comparison certain borrowing is included in the total borrowing but does not count against the </w:t>
      </w:r>
      <w:r w:rsidR="006D1274" w:rsidRPr="00A85D41">
        <w:rPr>
          <w:bCs/>
        </w:rPr>
        <w:t>capital financing requirement</w:t>
      </w:r>
      <w:r w:rsidRPr="00A85D41">
        <w:rPr>
          <w:bCs/>
        </w:rPr>
        <w:t>. These include the premiums paid and the transferred debt.</w:t>
      </w:r>
    </w:p>
    <w:p w14:paraId="0F4E8C0E" w14:textId="77777777" w:rsidR="0050205A" w:rsidRPr="00A85D41" w:rsidRDefault="0050205A" w:rsidP="00C742C9">
      <w:pPr>
        <w:jc w:val="both"/>
        <w:rPr>
          <w:bCs/>
        </w:rPr>
      </w:pPr>
    </w:p>
    <w:tbl>
      <w:tblPr>
        <w:tblW w:w="8789" w:type="dxa"/>
        <w:tblLook w:val="04A0" w:firstRow="1" w:lastRow="0" w:firstColumn="1" w:lastColumn="0" w:noHBand="0" w:noVBand="1"/>
      </w:tblPr>
      <w:tblGrid>
        <w:gridCol w:w="3828"/>
        <w:gridCol w:w="1417"/>
        <w:gridCol w:w="1134"/>
        <w:gridCol w:w="1276"/>
        <w:gridCol w:w="1134"/>
      </w:tblGrid>
      <w:tr w:rsidR="00937FCD" w14:paraId="726FF4B2" w14:textId="77777777" w:rsidTr="00F9443D">
        <w:trPr>
          <w:trHeight w:val="337"/>
        </w:trPr>
        <w:tc>
          <w:tcPr>
            <w:tcW w:w="3828" w:type="dxa"/>
            <w:tcBorders>
              <w:top w:val="nil"/>
              <w:left w:val="nil"/>
              <w:bottom w:val="nil"/>
              <w:right w:val="nil"/>
            </w:tcBorders>
            <w:shd w:val="clear" w:color="auto" w:fill="auto"/>
            <w:noWrap/>
          </w:tcPr>
          <w:p w14:paraId="535FBF57" w14:textId="77777777" w:rsidR="005B3783" w:rsidRPr="00A85D41" w:rsidRDefault="005B3783" w:rsidP="005B3783"/>
        </w:tc>
        <w:tc>
          <w:tcPr>
            <w:tcW w:w="4961" w:type="dxa"/>
            <w:gridSpan w:val="4"/>
            <w:tcBorders>
              <w:top w:val="single" w:sz="4" w:space="0" w:color="auto"/>
              <w:left w:val="single" w:sz="4" w:space="0" w:color="auto"/>
              <w:bottom w:val="single" w:sz="4" w:space="0" w:color="auto"/>
              <w:right w:val="single" w:sz="4" w:space="0" w:color="auto"/>
            </w:tcBorders>
            <w:shd w:val="clear" w:color="auto" w:fill="auto"/>
            <w:noWrap/>
          </w:tcPr>
          <w:p w14:paraId="1B3C46AC" w14:textId="77777777" w:rsidR="005B3783" w:rsidRPr="00A85D41" w:rsidRDefault="00BC5B1D" w:rsidP="005B3783">
            <w:pPr>
              <w:jc w:val="center"/>
            </w:pPr>
            <w:r w:rsidRPr="00A85D41">
              <w:t>As at</w:t>
            </w:r>
            <w:r w:rsidRPr="00A85D41">
              <w:t xml:space="preserve"> 31 March</w:t>
            </w:r>
          </w:p>
        </w:tc>
      </w:tr>
      <w:tr w:rsidR="00937FCD" w14:paraId="0BCE2988" w14:textId="77777777" w:rsidTr="00F9443D">
        <w:trPr>
          <w:trHeight w:val="300"/>
        </w:trPr>
        <w:tc>
          <w:tcPr>
            <w:tcW w:w="3828" w:type="dxa"/>
            <w:tcBorders>
              <w:top w:val="nil"/>
              <w:left w:val="nil"/>
              <w:bottom w:val="nil"/>
              <w:right w:val="nil"/>
            </w:tcBorders>
            <w:shd w:val="clear" w:color="auto" w:fill="auto"/>
            <w:noWrap/>
            <w:hideMark/>
          </w:tcPr>
          <w:p w14:paraId="4C0B440E" w14:textId="77777777" w:rsidR="003021E4" w:rsidRPr="00A85D41" w:rsidRDefault="003021E4" w:rsidP="003021E4"/>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73E9C6F" w14:textId="77777777" w:rsidR="003021E4" w:rsidRPr="00A85D41" w:rsidRDefault="00BC5B1D" w:rsidP="003021E4">
            <w:pPr>
              <w:jc w:val="center"/>
            </w:pPr>
            <w:r w:rsidRPr="00A85D41">
              <w:t>2022</w:t>
            </w:r>
          </w:p>
        </w:tc>
        <w:tc>
          <w:tcPr>
            <w:tcW w:w="1134" w:type="dxa"/>
            <w:tcBorders>
              <w:top w:val="single" w:sz="4" w:space="0" w:color="auto"/>
              <w:left w:val="nil"/>
              <w:bottom w:val="single" w:sz="4" w:space="0" w:color="auto"/>
              <w:right w:val="single" w:sz="4" w:space="0" w:color="auto"/>
            </w:tcBorders>
            <w:shd w:val="clear" w:color="auto" w:fill="auto"/>
            <w:noWrap/>
            <w:hideMark/>
          </w:tcPr>
          <w:p w14:paraId="680435DF" w14:textId="77777777" w:rsidR="003021E4" w:rsidRPr="00A85D41" w:rsidRDefault="00BC5B1D" w:rsidP="003021E4">
            <w:pPr>
              <w:jc w:val="center"/>
            </w:pPr>
            <w:r w:rsidRPr="00A85D41">
              <w:t>2023</w:t>
            </w:r>
          </w:p>
        </w:tc>
        <w:tc>
          <w:tcPr>
            <w:tcW w:w="1276" w:type="dxa"/>
            <w:tcBorders>
              <w:top w:val="single" w:sz="4" w:space="0" w:color="auto"/>
              <w:left w:val="nil"/>
              <w:bottom w:val="single" w:sz="4" w:space="0" w:color="auto"/>
              <w:right w:val="single" w:sz="4" w:space="0" w:color="auto"/>
            </w:tcBorders>
            <w:shd w:val="clear" w:color="auto" w:fill="auto"/>
            <w:noWrap/>
            <w:hideMark/>
          </w:tcPr>
          <w:p w14:paraId="0493AD44" w14:textId="77777777" w:rsidR="003021E4" w:rsidRPr="00A85D41" w:rsidRDefault="00BC5B1D" w:rsidP="003021E4">
            <w:pPr>
              <w:jc w:val="center"/>
            </w:pPr>
            <w:r w:rsidRPr="00A85D41">
              <w:t>2024</w:t>
            </w:r>
          </w:p>
        </w:tc>
        <w:tc>
          <w:tcPr>
            <w:tcW w:w="1134" w:type="dxa"/>
            <w:tcBorders>
              <w:top w:val="single" w:sz="4" w:space="0" w:color="auto"/>
              <w:left w:val="nil"/>
              <w:bottom w:val="single" w:sz="4" w:space="0" w:color="auto"/>
              <w:right w:val="single" w:sz="4" w:space="0" w:color="auto"/>
            </w:tcBorders>
            <w:shd w:val="clear" w:color="auto" w:fill="auto"/>
            <w:noWrap/>
            <w:hideMark/>
          </w:tcPr>
          <w:p w14:paraId="306AC9D8" w14:textId="77777777" w:rsidR="003021E4" w:rsidRPr="00A85D41" w:rsidRDefault="00BC5B1D" w:rsidP="003021E4">
            <w:pPr>
              <w:jc w:val="center"/>
            </w:pPr>
            <w:r w:rsidRPr="00A85D41">
              <w:t>2025</w:t>
            </w:r>
          </w:p>
        </w:tc>
      </w:tr>
      <w:tr w:rsidR="00937FCD" w14:paraId="36FEC647" w14:textId="77777777" w:rsidTr="00F9443D">
        <w:trPr>
          <w:trHeight w:val="300"/>
        </w:trPr>
        <w:tc>
          <w:tcPr>
            <w:tcW w:w="3828" w:type="dxa"/>
            <w:tcBorders>
              <w:top w:val="nil"/>
              <w:left w:val="nil"/>
              <w:bottom w:val="nil"/>
              <w:right w:val="nil"/>
            </w:tcBorders>
            <w:shd w:val="clear" w:color="auto" w:fill="auto"/>
            <w:noWrap/>
            <w:hideMark/>
          </w:tcPr>
          <w:p w14:paraId="7F1BF382" w14:textId="77777777" w:rsidR="003021E4" w:rsidRPr="00A85D41" w:rsidRDefault="003021E4" w:rsidP="003021E4"/>
        </w:tc>
        <w:tc>
          <w:tcPr>
            <w:tcW w:w="1417" w:type="dxa"/>
            <w:tcBorders>
              <w:top w:val="nil"/>
              <w:left w:val="single" w:sz="4" w:space="0" w:color="auto"/>
              <w:bottom w:val="single" w:sz="4" w:space="0" w:color="auto"/>
              <w:right w:val="single" w:sz="4" w:space="0" w:color="auto"/>
            </w:tcBorders>
            <w:shd w:val="clear" w:color="auto" w:fill="auto"/>
            <w:noWrap/>
            <w:hideMark/>
          </w:tcPr>
          <w:p w14:paraId="6E59CFC3" w14:textId="77777777" w:rsidR="003021E4" w:rsidRPr="00A85D41" w:rsidRDefault="00BC5B1D" w:rsidP="003021E4">
            <w:pPr>
              <w:jc w:val="center"/>
            </w:pPr>
            <w:r w:rsidRPr="00A85D41">
              <w:t>£m</w:t>
            </w:r>
          </w:p>
        </w:tc>
        <w:tc>
          <w:tcPr>
            <w:tcW w:w="1134" w:type="dxa"/>
            <w:tcBorders>
              <w:top w:val="nil"/>
              <w:left w:val="nil"/>
              <w:bottom w:val="single" w:sz="4" w:space="0" w:color="auto"/>
              <w:right w:val="single" w:sz="4" w:space="0" w:color="auto"/>
            </w:tcBorders>
            <w:shd w:val="clear" w:color="auto" w:fill="auto"/>
            <w:noWrap/>
            <w:hideMark/>
          </w:tcPr>
          <w:p w14:paraId="068470B1" w14:textId="77777777" w:rsidR="003021E4" w:rsidRPr="00A85D41" w:rsidRDefault="00BC5B1D" w:rsidP="003021E4">
            <w:pPr>
              <w:jc w:val="center"/>
            </w:pPr>
            <w:r w:rsidRPr="00A85D41">
              <w:t>£m</w:t>
            </w:r>
          </w:p>
        </w:tc>
        <w:tc>
          <w:tcPr>
            <w:tcW w:w="1276" w:type="dxa"/>
            <w:tcBorders>
              <w:top w:val="nil"/>
              <w:left w:val="nil"/>
              <w:bottom w:val="single" w:sz="4" w:space="0" w:color="auto"/>
              <w:right w:val="single" w:sz="4" w:space="0" w:color="auto"/>
            </w:tcBorders>
            <w:shd w:val="clear" w:color="auto" w:fill="auto"/>
            <w:noWrap/>
            <w:hideMark/>
          </w:tcPr>
          <w:p w14:paraId="21E3EBBA" w14:textId="77777777" w:rsidR="003021E4" w:rsidRPr="00A85D41" w:rsidRDefault="00BC5B1D" w:rsidP="003021E4">
            <w:pPr>
              <w:jc w:val="center"/>
            </w:pPr>
            <w:r w:rsidRPr="00A85D41">
              <w:t>£m</w:t>
            </w:r>
          </w:p>
        </w:tc>
        <w:tc>
          <w:tcPr>
            <w:tcW w:w="1134" w:type="dxa"/>
            <w:tcBorders>
              <w:top w:val="nil"/>
              <w:left w:val="nil"/>
              <w:bottom w:val="single" w:sz="4" w:space="0" w:color="auto"/>
              <w:right w:val="single" w:sz="4" w:space="0" w:color="auto"/>
            </w:tcBorders>
            <w:shd w:val="clear" w:color="auto" w:fill="auto"/>
            <w:noWrap/>
            <w:hideMark/>
          </w:tcPr>
          <w:p w14:paraId="3FD7059A" w14:textId="77777777" w:rsidR="003021E4" w:rsidRPr="00A85D41" w:rsidRDefault="00BC5B1D" w:rsidP="003021E4">
            <w:pPr>
              <w:jc w:val="center"/>
            </w:pPr>
            <w:r w:rsidRPr="00A85D41">
              <w:t>£m</w:t>
            </w:r>
          </w:p>
        </w:tc>
      </w:tr>
      <w:tr w:rsidR="00937FCD" w14:paraId="643F0951" w14:textId="77777777" w:rsidTr="00F9443D">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969C2" w14:textId="77777777" w:rsidR="003021E4" w:rsidRPr="00A85D41" w:rsidRDefault="00BC5B1D" w:rsidP="003021E4">
            <w:r w:rsidRPr="00A85D41">
              <w:rPr>
                <w:color w:val="000000"/>
              </w:rPr>
              <w:t>Borrowing capital financing requirement</w:t>
            </w:r>
          </w:p>
        </w:tc>
        <w:tc>
          <w:tcPr>
            <w:tcW w:w="1417" w:type="dxa"/>
            <w:tcBorders>
              <w:top w:val="nil"/>
              <w:left w:val="nil"/>
              <w:bottom w:val="single" w:sz="4" w:space="0" w:color="auto"/>
              <w:right w:val="single" w:sz="4" w:space="0" w:color="auto"/>
            </w:tcBorders>
            <w:shd w:val="clear" w:color="auto" w:fill="auto"/>
            <w:noWrap/>
            <w:vAlign w:val="center"/>
          </w:tcPr>
          <w:p w14:paraId="6F2B1AC1" w14:textId="77777777" w:rsidR="003021E4" w:rsidRPr="00A85D41" w:rsidRDefault="00BC5B1D" w:rsidP="00C248F1">
            <w:pPr>
              <w:jc w:val="right"/>
            </w:pPr>
            <w:r w:rsidRPr="00A85D41">
              <w:rPr>
                <w:color w:val="000000"/>
              </w:rPr>
              <w:t>1,023</w:t>
            </w:r>
          </w:p>
        </w:tc>
        <w:tc>
          <w:tcPr>
            <w:tcW w:w="1134" w:type="dxa"/>
            <w:tcBorders>
              <w:top w:val="nil"/>
              <w:left w:val="nil"/>
              <w:bottom w:val="single" w:sz="4" w:space="0" w:color="auto"/>
              <w:right w:val="single" w:sz="4" w:space="0" w:color="auto"/>
            </w:tcBorders>
            <w:shd w:val="clear" w:color="auto" w:fill="auto"/>
            <w:noWrap/>
            <w:vAlign w:val="center"/>
          </w:tcPr>
          <w:p w14:paraId="63AE51CD" w14:textId="77777777" w:rsidR="003021E4" w:rsidRPr="00A85D41" w:rsidRDefault="00BC5B1D" w:rsidP="00C248F1">
            <w:pPr>
              <w:jc w:val="right"/>
            </w:pPr>
            <w:r w:rsidRPr="00A85D41">
              <w:rPr>
                <w:color w:val="000000"/>
              </w:rPr>
              <w:t>1,083</w:t>
            </w:r>
          </w:p>
        </w:tc>
        <w:tc>
          <w:tcPr>
            <w:tcW w:w="1276" w:type="dxa"/>
            <w:tcBorders>
              <w:top w:val="nil"/>
              <w:left w:val="nil"/>
              <w:bottom w:val="single" w:sz="4" w:space="0" w:color="auto"/>
              <w:right w:val="single" w:sz="4" w:space="0" w:color="auto"/>
            </w:tcBorders>
            <w:shd w:val="clear" w:color="auto" w:fill="auto"/>
            <w:noWrap/>
            <w:vAlign w:val="center"/>
          </w:tcPr>
          <w:p w14:paraId="318510B2" w14:textId="77777777" w:rsidR="003021E4" w:rsidRPr="00A85D41" w:rsidRDefault="00BC5B1D" w:rsidP="00C248F1">
            <w:pPr>
              <w:jc w:val="right"/>
            </w:pPr>
            <w:r w:rsidRPr="00A85D41">
              <w:rPr>
                <w:color w:val="000000"/>
              </w:rPr>
              <w:t>1,106</w:t>
            </w:r>
          </w:p>
        </w:tc>
        <w:tc>
          <w:tcPr>
            <w:tcW w:w="1134" w:type="dxa"/>
            <w:tcBorders>
              <w:top w:val="nil"/>
              <w:left w:val="nil"/>
              <w:bottom w:val="single" w:sz="4" w:space="0" w:color="auto"/>
              <w:right w:val="single" w:sz="4" w:space="0" w:color="auto"/>
            </w:tcBorders>
            <w:shd w:val="clear" w:color="auto" w:fill="auto"/>
            <w:noWrap/>
            <w:vAlign w:val="center"/>
          </w:tcPr>
          <w:p w14:paraId="58DE53BB" w14:textId="77777777" w:rsidR="003021E4" w:rsidRPr="00A85D41" w:rsidRDefault="00BC5B1D" w:rsidP="00C248F1">
            <w:pPr>
              <w:jc w:val="right"/>
            </w:pPr>
            <w:r w:rsidRPr="00A85D41">
              <w:rPr>
                <w:color w:val="000000"/>
              </w:rPr>
              <w:t>1,129</w:t>
            </w:r>
          </w:p>
        </w:tc>
      </w:tr>
      <w:tr w:rsidR="00937FCD" w14:paraId="511B16D5" w14:textId="77777777" w:rsidTr="00F9443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1556734" w14:textId="77777777" w:rsidR="003021E4" w:rsidRPr="00A85D41" w:rsidRDefault="00BC5B1D" w:rsidP="003021E4">
            <w:r w:rsidRPr="00A85D41">
              <w:rPr>
                <w:color w:val="000000"/>
              </w:rPr>
              <w:t>Estimated total borrowing</w:t>
            </w:r>
          </w:p>
        </w:tc>
        <w:tc>
          <w:tcPr>
            <w:tcW w:w="1417" w:type="dxa"/>
            <w:tcBorders>
              <w:top w:val="nil"/>
              <w:left w:val="nil"/>
              <w:bottom w:val="single" w:sz="4" w:space="0" w:color="auto"/>
              <w:right w:val="single" w:sz="4" w:space="0" w:color="auto"/>
            </w:tcBorders>
            <w:shd w:val="clear" w:color="auto" w:fill="auto"/>
            <w:noWrap/>
            <w:vAlign w:val="center"/>
          </w:tcPr>
          <w:p w14:paraId="24651C9F" w14:textId="77777777" w:rsidR="003021E4" w:rsidRPr="00A85D41" w:rsidRDefault="00BC5B1D" w:rsidP="00C248F1">
            <w:pPr>
              <w:jc w:val="right"/>
            </w:pPr>
            <w:r w:rsidRPr="00A85D41">
              <w:rPr>
                <w:color w:val="000000"/>
              </w:rPr>
              <w:t>1,106</w:t>
            </w:r>
          </w:p>
        </w:tc>
        <w:tc>
          <w:tcPr>
            <w:tcW w:w="1134" w:type="dxa"/>
            <w:tcBorders>
              <w:top w:val="nil"/>
              <w:left w:val="nil"/>
              <w:bottom w:val="single" w:sz="4" w:space="0" w:color="auto"/>
              <w:right w:val="single" w:sz="4" w:space="0" w:color="auto"/>
            </w:tcBorders>
            <w:shd w:val="clear" w:color="auto" w:fill="auto"/>
            <w:noWrap/>
            <w:vAlign w:val="center"/>
          </w:tcPr>
          <w:p w14:paraId="5607B45C" w14:textId="77777777" w:rsidR="003021E4" w:rsidRPr="00A85D41" w:rsidRDefault="00BC5B1D" w:rsidP="00C248F1">
            <w:pPr>
              <w:jc w:val="right"/>
            </w:pPr>
            <w:r w:rsidRPr="00A85D41">
              <w:rPr>
                <w:color w:val="000000"/>
              </w:rPr>
              <w:t>1,160</w:t>
            </w:r>
          </w:p>
        </w:tc>
        <w:tc>
          <w:tcPr>
            <w:tcW w:w="1276" w:type="dxa"/>
            <w:tcBorders>
              <w:top w:val="nil"/>
              <w:left w:val="nil"/>
              <w:bottom w:val="single" w:sz="4" w:space="0" w:color="auto"/>
              <w:right w:val="single" w:sz="4" w:space="0" w:color="auto"/>
            </w:tcBorders>
            <w:shd w:val="clear" w:color="auto" w:fill="auto"/>
            <w:noWrap/>
            <w:vAlign w:val="center"/>
          </w:tcPr>
          <w:p w14:paraId="009F1AE5" w14:textId="77777777" w:rsidR="003021E4" w:rsidRPr="00A85D41" w:rsidRDefault="00BC5B1D" w:rsidP="00C248F1">
            <w:pPr>
              <w:jc w:val="right"/>
            </w:pPr>
            <w:r w:rsidRPr="00A85D41">
              <w:rPr>
                <w:color w:val="000000"/>
              </w:rPr>
              <w:t>1,179</w:t>
            </w:r>
          </w:p>
        </w:tc>
        <w:tc>
          <w:tcPr>
            <w:tcW w:w="1134" w:type="dxa"/>
            <w:tcBorders>
              <w:top w:val="nil"/>
              <w:left w:val="nil"/>
              <w:bottom w:val="single" w:sz="4" w:space="0" w:color="auto"/>
              <w:right w:val="single" w:sz="4" w:space="0" w:color="auto"/>
            </w:tcBorders>
            <w:shd w:val="clear" w:color="auto" w:fill="auto"/>
            <w:noWrap/>
            <w:vAlign w:val="center"/>
          </w:tcPr>
          <w:p w14:paraId="72D78520" w14:textId="77777777" w:rsidR="003021E4" w:rsidRPr="00A85D41" w:rsidRDefault="00BC5B1D" w:rsidP="00C248F1">
            <w:pPr>
              <w:jc w:val="right"/>
            </w:pPr>
            <w:r w:rsidRPr="00A85D41">
              <w:rPr>
                <w:color w:val="000000"/>
              </w:rPr>
              <w:t>1,197</w:t>
            </w:r>
          </w:p>
        </w:tc>
      </w:tr>
      <w:tr w:rsidR="00937FCD" w14:paraId="68778F17" w14:textId="77777777" w:rsidTr="00F9443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1747D8A6" w14:textId="77777777" w:rsidR="003021E4" w:rsidRPr="00A85D41" w:rsidRDefault="00BC5B1D" w:rsidP="003021E4">
            <w:r w:rsidRPr="00A85D41">
              <w:rPr>
                <w:color w:val="000000"/>
              </w:rPr>
              <w:t>Borrowing in excess of capital financing requirement</w:t>
            </w:r>
          </w:p>
        </w:tc>
        <w:tc>
          <w:tcPr>
            <w:tcW w:w="1417" w:type="dxa"/>
            <w:tcBorders>
              <w:top w:val="nil"/>
              <w:left w:val="nil"/>
              <w:bottom w:val="single" w:sz="4" w:space="0" w:color="auto"/>
              <w:right w:val="single" w:sz="4" w:space="0" w:color="auto"/>
            </w:tcBorders>
            <w:shd w:val="clear" w:color="auto" w:fill="auto"/>
            <w:noWrap/>
            <w:vAlign w:val="center"/>
          </w:tcPr>
          <w:p w14:paraId="3A4F2807" w14:textId="77777777" w:rsidR="003021E4" w:rsidRPr="00A85D41" w:rsidRDefault="00BC5B1D" w:rsidP="00C248F1">
            <w:pPr>
              <w:jc w:val="right"/>
            </w:pPr>
            <w:r w:rsidRPr="00A85D41">
              <w:rPr>
                <w:color w:val="000000"/>
              </w:rPr>
              <w:t>8</w:t>
            </w:r>
            <w:r w:rsidR="00C248F1">
              <w:rPr>
                <w:color w:val="000000"/>
              </w:rPr>
              <w:t>3</w:t>
            </w:r>
          </w:p>
        </w:tc>
        <w:tc>
          <w:tcPr>
            <w:tcW w:w="1134" w:type="dxa"/>
            <w:tcBorders>
              <w:top w:val="nil"/>
              <w:left w:val="nil"/>
              <w:bottom w:val="single" w:sz="4" w:space="0" w:color="auto"/>
              <w:right w:val="single" w:sz="4" w:space="0" w:color="auto"/>
            </w:tcBorders>
            <w:shd w:val="clear" w:color="auto" w:fill="auto"/>
            <w:noWrap/>
            <w:vAlign w:val="center"/>
          </w:tcPr>
          <w:p w14:paraId="09BF7893" w14:textId="77777777" w:rsidR="003021E4" w:rsidRPr="00A85D41" w:rsidRDefault="00BC5B1D" w:rsidP="00C248F1">
            <w:pPr>
              <w:jc w:val="right"/>
            </w:pPr>
            <w:r w:rsidRPr="00A85D41">
              <w:rPr>
                <w:color w:val="000000"/>
              </w:rPr>
              <w:t>77</w:t>
            </w:r>
          </w:p>
        </w:tc>
        <w:tc>
          <w:tcPr>
            <w:tcW w:w="1276" w:type="dxa"/>
            <w:tcBorders>
              <w:top w:val="nil"/>
              <w:left w:val="nil"/>
              <w:bottom w:val="single" w:sz="4" w:space="0" w:color="auto"/>
              <w:right w:val="single" w:sz="4" w:space="0" w:color="auto"/>
            </w:tcBorders>
            <w:shd w:val="clear" w:color="auto" w:fill="auto"/>
            <w:noWrap/>
            <w:vAlign w:val="center"/>
          </w:tcPr>
          <w:p w14:paraId="118165B0" w14:textId="77777777" w:rsidR="003021E4" w:rsidRPr="00A85D41" w:rsidRDefault="00BC5B1D" w:rsidP="00C248F1">
            <w:pPr>
              <w:jc w:val="right"/>
            </w:pPr>
            <w:r w:rsidRPr="00A85D41">
              <w:rPr>
                <w:color w:val="000000"/>
              </w:rPr>
              <w:t>73</w:t>
            </w:r>
          </w:p>
        </w:tc>
        <w:tc>
          <w:tcPr>
            <w:tcW w:w="1134" w:type="dxa"/>
            <w:tcBorders>
              <w:top w:val="nil"/>
              <w:left w:val="nil"/>
              <w:bottom w:val="single" w:sz="4" w:space="0" w:color="auto"/>
              <w:right w:val="single" w:sz="4" w:space="0" w:color="auto"/>
            </w:tcBorders>
            <w:shd w:val="clear" w:color="auto" w:fill="auto"/>
            <w:noWrap/>
            <w:vAlign w:val="center"/>
          </w:tcPr>
          <w:p w14:paraId="2C26D2F3" w14:textId="77777777" w:rsidR="003021E4" w:rsidRPr="00A85D41" w:rsidRDefault="00BC5B1D" w:rsidP="00C248F1">
            <w:pPr>
              <w:jc w:val="right"/>
            </w:pPr>
            <w:r w:rsidRPr="00A85D41">
              <w:rPr>
                <w:color w:val="000000"/>
              </w:rPr>
              <w:t>6</w:t>
            </w:r>
            <w:r w:rsidR="00C248F1">
              <w:rPr>
                <w:color w:val="000000"/>
              </w:rPr>
              <w:t>8</w:t>
            </w:r>
          </w:p>
        </w:tc>
      </w:tr>
      <w:tr w:rsidR="00937FCD" w14:paraId="009C0B43" w14:textId="77777777" w:rsidTr="00F9443D">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944E3" w14:textId="77777777" w:rsidR="003021E4" w:rsidRPr="00A85D41" w:rsidRDefault="00BC5B1D" w:rsidP="003021E4">
            <w:r w:rsidRPr="00A85D41">
              <w:rPr>
                <w:color w:val="000000"/>
                <w:u w:val="single"/>
              </w:rPr>
              <w:t>Represented by:</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794A902" w14:textId="77777777" w:rsidR="003021E4" w:rsidRPr="00A85D41" w:rsidRDefault="00BC5B1D" w:rsidP="00C248F1">
            <w:pPr>
              <w:jc w:val="right"/>
            </w:pPr>
            <w:r w:rsidRPr="00A85D41">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2484D2" w14:textId="77777777" w:rsidR="003021E4" w:rsidRPr="00A85D41" w:rsidRDefault="00BC5B1D" w:rsidP="00C248F1">
            <w:pPr>
              <w:jc w:val="right"/>
            </w:pPr>
            <w:r w:rsidRPr="00A85D41">
              <w:rPr>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0856FC" w14:textId="77777777" w:rsidR="003021E4" w:rsidRPr="00A85D41" w:rsidRDefault="00BC5B1D" w:rsidP="00C248F1">
            <w:pPr>
              <w:jc w:val="right"/>
            </w:pPr>
            <w:r w:rsidRPr="00A85D41">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FDF490" w14:textId="77777777" w:rsidR="003021E4" w:rsidRPr="00A85D41" w:rsidRDefault="00BC5B1D" w:rsidP="00C248F1">
            <w:pPr>
              <w:jc w:val="right"/>
            </w:pPr>
            <w:r w:rsidRPr="00A85D41">
              <w:rPr>
                <w:color w:val="000000"/>
              </w:rPr>
              <w:t> </w:t>
            </w:r>
          </w:p>
        </w:tc>
      </w:tr>
      <w:tr w:rsidR="00937FCD" w14:paraId="4FD2FF46" w14:textId="77777777" w:rsidTr="00F9443D">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8BFBC" w14:textId="77777777" w:rsidR="003021E4" w:rsidRPr="00A85D41" w:rsidRDefault="00BC5B1D" w:rsidP="003021E4">
            <w:r w:rsidRPr="00A85D41">
              <w:rPr>
                <w:color w:val="000000"/>
              </w:rPr>
              <w:t>Premiums</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6908A8E" w14:textId="77777777" w:rsidR="003021E4" w:rsidRPr="00A85D41" w:rsidRDefault="00BC5B1D" w:rsidP="00C248F1">
            <w:pPr>
              <w:jc w:val="right"/>
            </w:pPr>
            <w:r w:rsidRPr="00A85D41">
              <w:rPr>
                <w:color w:val="000000"/>
              </w:rPr>
              <w:t>4</w:t>
            </w:r>
            <w:r w:rsidR="00C248F1">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204752" w14:textId="77777777" w:rsidR="003021E4" w:rsidRPr="00A85D41" w:rsidRDefault="00BC5B1D" w:rsidP="00C248F1">
            <w:pPr>
              <w:jc w:val="right"/>
            </w:pPr>
            <w:r w:rsidRPr="00A85D41">
              <w:rPr>
                <w:color w:val="000000"/>
              </w:rPr>
              <w:t>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5CF78C" w14:textId="77777777" w:rsidR="003021E4" w:rsidRPr="00A85D41" w:rsidRDefault="00BC5B1D" w:rsidP="00C248F1">
            <w:pPr>
              <w:jc w:val="right"/>
            </w:pPr>
            <w:r w:rsidRPr="00A85D41">
              <w:rPr>
                <w:color w:val="000000"/>
              </w:rPr>
              <w:t>3</w:t>
            </w:r>
            <w:r w:rsidR="00F9443D">
              <w:rPr>
                <w:color w:val="000000"/>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9178C6" w14:textId="77777777" w:rsidR="003021E4" w:rsidRPr="00A85D41" w:rsidRDefault="00BC5B1D" w:rsidP="00C248F1">
            <w:pPr>
              <w:jc w:val="right"/>
            </w:pPr>
            <w:r w:rsidRPr="00A85D41">
              <w:rPr>
                <w:color w:val="000000"/>
              </w:rPr>
              <w:t>3</w:t>
            </w:r>
            <w:r w:rsidR="00F9443D">
              <w:rPr>
                <w:color w:val="000000"/>
              </w:rPr>
              <w:t>2</w:t>
            </w:r>
          </w:p>
        </w:tc>
      </w:tr>
      <w:tr w:rsidR="00937FCD" w14:paraId="4B952206" w14:textId="77777777" w:rsidTr="00F9443D">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7F4DF" w14:textId="77777777" w:rsidR="003021E4" w:rsidRPr="00A85D41" w:rsidRDefault="00BC5B1D" w:rsidP="003021E4">
            <w:r w:rsidRPr="00A85D41">
              <w:rPr>
                <w:color w:val="000000"/>
              </w:rPr>
              <w:t xml:space="preserve">Borrowing relating to other authorities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C9A040D" w14:textId="77777777" w:rsidR="003021E4" w:rsidRPr="00A85D41" w:rsidRDefault="00BC5B1D" w:rsidP="00C248F1">
            <w:pPr>
              <w:jc w:val="right"/>
            </w:pPr>
            <w:r w:rsidRPr="00A85D41">
              <w:rPr>
                <w:color w:val="000000"/>
              </w:rPr>
              <w:t>41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9A3612" w14:textId="77777777" w:rsidR="003021E4" w:rsidRPr="00A85D41" w:rsidRDefault="00BC5B1D" w:rsidP="00C248F1">
            <w:pPr>
              <w:jc w:val="right"/>
            </w:pPr>
            <w:r w:rsidRPr="00A85D41">
              <w:rPr>
                <w:color w:val="000000"/>
              </w:rPr>
              <w:t>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193817" w14:textId="77777777" w:rsidR="003021E4" w:rsidRPr="00A85D41" w:rsidRDefault="00BC5B1D" w:rsidP="00C248F1">
            <w:pPr>
              <w:jc w:val="right"/>
            </w:pPr>
            <w:r w:rsidRPr="00A85D41">
              <w:rPr>
                <w:color w:val="000000"/>
              </w:rPr>
              <w:t>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89A53E" w14:textId="77777777" w:rsidR="003021E4" w:rsidRPr="00A85D41" w:rsidRDefault="00BC5B1D" w:rsidP="00C248F1">
            <w:pPr>
              <w:jc w:val="right"/>
            </w:pPr>
            <w:r w:rsidRPr="00A85D41">
              <w:rPr>
                <w:color w:val="000000"/>
              </w:rPr>
              <w:t>36</w:t>
            </w:r>
          </w:p>
        </w:tc>
      </w:tr>
    </w:tbl>
    <w:p w14:paraId="33472C9A" w14:textId="77777777" w:rsidR="00C742C9" w:rsidRPr="00A85D41" w:rsidRDefault="00C742C9" w:rsidP="00C742C9">
      <w:pPr>
        <w:jc w:val="both"/>
      </w:pPr>
    </w:p>
    <w:p w14:paraId="4C86E36A" w14:textId="77777777" w:rsidR="00C742C9" w:rsidRPr="00A85D41" w:rsidRDefault="00BC5B1D" w:rsidP="00C742C9">
      <w:pPr>
        <w:jc w:val="both"/>
      </w:pPr>
      <w:r w:rsidRPr="00A85D41">
        <w:t>The indicators and limits relating to specific treasury management activities are set out as follows.</w:t>
      </w:r>
    </w:p>
    <w:p w14:paraId="6DCF40AE" w14:textId="77777777" w:rsidR="00C742C9" w:rsidRPr="00A85D41" w:rsidRDefault="00C742C9" w:rsidP="00C742C9">
      <w:pPr>
        <w:pStyle w:val="ListParagraph"/>
        <w:spacing w:line="276" w:lineRule="auto"/>
        <w:ind w:left="0"/>
        <w:rPr>
          <w:b/>
          <w:i/>
          <w:color w:val="000000"/>
        </w:rPr>
      </w:pPr>
    </w:p>
    <w:p w14:paraId="42F157FC" w14:textId="77777777" w:rsidR="00C742C9" w:rsidRPr="0097530F" w:rsidRDefault="00BC5B1D" w:rsidP="00C742C9">
      <w:pPr>
        <w:pStyle w:val="ListParagraph"/>
        <w:spacing w:line="276" w:lineRule="auto"/>
        <w:ind w:left="0"/>
        <w:rPr>
          <w:b/>
          <w:i/>
          <w:color w:val="000000"/>
        </w:rPr>
      </w:pPr>
      <w:r w:rsidRPr="0097530F">
        <w:rPr>
          <w:b/>
          <w:i/>
          <w:color w:val="000000"/>
        </w:rPr>
        <w:t>Interest rate exposure</w:t>
      </w:r>
    </w:p>
    <w:p w14:paraId="3FC9334B" w14:textId="77777777" w:rsidR="00717E3A" w:rsidRPr="0097530F" w:rsidRDefault="00717E3A" w:rsidP="00C742C9">
      <w:pPr>
        <w:pStyle w:val="ListParagraph"/>
        <w:spacing w:line="276" w:lineRule="auto"/>
        <w:ind w:left="0"/>
        <w:rPr>
          <w:b/>
          <w:i/>
          <w:color w:val="000000"/>
        </w:rPr>
      </w:pPr>
    </w:p>
    <w:p w14:paraId="24C1886F" w14:textId="77777777" w:rsidR="00C742C9" w:rsidRPr="0097530F" w:rsidRDefault="00BC5B1D" w:rsidP="00C742C9">
      <w:pPr>
        <w:jc w:val="both"/>
      </w:pPr>
      <w:r w:rsidRPr="0097530F">
        <w:t>In order to control interest rate risk the council measures its exposure to interest rate movements. These indicators place limits on the overall amount of risk the council</w:t>
      </w:r>
      <w:r w:rsidR="006B337B" w:rsidRPr="0097530F">
        <w:t xml:space="preserve"> is exposed to. </w:t>
      </w:r>
      <w:r w:rsidRPr="0097530F">
        <w:t>The one</w:t>
      </w:r>
      <w:r w:rsidR="006E3845">
        <w:t>-</w:t>
      </w:r>
      <w:r w:rsidRPr="0097530F">
        <w:t>year impact indicator calculates the theoretical impact on t</w:t>
      </w:r>
      <w:r w:rsidRPr="0097530F">
        <w:t>he revenue account of an immediate 1% rise in all interest rates over the course of one financial year.</w:t>
      </w:r>
      <w:r w:rsidR="00683AA1" w:rsidRPr="0097530F">
        <w:t xml:space="preserve"> The indicator excludes the impact of any estimated fair value movements.</w:t>
      </w:r>
    </w:p>
    <w:p w14:paraId="2F9BC90A" w14:textId="77777777" w:rsidR="00C742C9" w:rsidRPr="0097530F" w:rsidRDefault="00C742C9" w:rsidP="00C742C9">
      <w:pPr>
        <w:jc w:val="both"/>
      </w:pPr>
    </w:p>
    <w:tbl>
      <w:tblPr>
        <w:tblStyle w:val="TableGrid"/>
        <w:tblW w:w="9067" w:type="dxa"/>
        <w:tblLook w:val="04A0" w:firstRow="1" w:lastRow="0" w:firstColumn="1" w:lastColumn="0" w:noHBand="0" w:noVBand="1"/>
      </w:tblPr>
      <w:tblGrid>
        <w:gridCol w:w="7225"/>
        <w:gridCol w:w="1842"/>
      </w:tblGrid>
      <w:tr w:rsidR="00937FCD" w14:paraId="6B2E1704" w14:textId="77777777" w:rsidTr="00C742C9">
        <w:tc>
          <w:tcPr>
            <w:tcW w:w="7225" w:type="dxa"/>
          </w:tcPr>
          <w:p w14:paraId="067C5FC0" w14:textId="77777777" w:rsidR="00C742C9" w:rsidRPr="0097530F" w:rsidRDefault="00C742C9" w:rsidP="00C742C9">
            <w:pPr>
              <w:rPr>
                <w:b/>
              </w:rPr>
            </w:pPr>
          </w:p>
        </w:tc>
        <w:tc>
          <w:tcPr>
            <w:tcW w:w="1842" w:type="dxa"/>
            <w:vAlign w:val="center"/>
          </w:tcPr>
          <w:p w14:paraId="6C71F76E" w14:textId="77777777" w:rsidR="00C742C9" w:rsidRPr="0097530F" w:rsidRDefault="00BC5B1D" w:rsidP="00C742C9">
            <w:pPr>
              <w:jc w:val="center"/>
            </w:pPr>
            <w:r w:rsidRPr="0097530F">
              <w:t>Upper Limit</w:t>
            </w:r>
          </w:p>
        </w:tc>
      </w:tr>
      <w:tr w:rsidR="00937FCD" w14:paraId="4E786C16" w14:textId="77777777" w:rsidTr="00C742C9">
        <w:tc>
          <w:tcPr>
            <w:tcW w:w="7225" w:type="dxa"/>
          </w:tcPr>
          <w:p w14:paraId="6235EF8F" w14:textId="77777777" w:rsidR="00C742C9" w:rsidRPr="0097530F" w:rsidRDefault="00BC5B1D" w:rsidP="00C742C9">
            <w:r w:rsidRPr="0097530F">
              <w:t xml:space="preserve">Upper limit on one-year revenue impact of a 1% rise in interest rates </w:t>
            </w:r>
          </w:p>
        </w:tc>
        <w:tc>
          <w:tcPr>
            <w:tcW w:w="1842" w:type="dxa"/>
            <w:vAlign w:val="center"/>
          </w:tcPr>
          <w:p w14:paraId="4A342B92" w14:textId="77777777" w:rsidR="00C742C9" w:rsidRPr="0097530F" w:rsidRDefault="00BC5B1D" w:rsidP="00C742C9">
            <w:pPr>
              <w:jc w:val="right"/>
            </w:pPr>
            <w:r w:rsidRPr="0097530F">
              <w:t>£50m</w:t>
            </w:r>
          </w:p>
        </w:tc>
      </w:tr>
    </w:tbl>
    <w:p w14:paraId="7CD75EFB" w14:textId="77777777" w:rsidR="00C742C9" w:rsidRPr="00044115" w:rsidRDefault="00C742C9" w:rsidP="00C742C9">
      <w:pPr>
        <w:pStyle w:val="ListParagraph"/>
        <w:tabs>
          <w:tab w:val="left" w:pos="3285"/>
        </w:tabs>
        <w:spacing w:line="276" w:lineRule="auto"/>
        <w:ind w:left="-108" w:firstLine="108"/>
        <w:rPr>
          <w:b/>
          <w:i/>
          <w:highlight w:val="green"/>
        </w:rPr>
      </w:pPr>
    </w:p>
    <w:p w14:paraId="6D63BEF6" w14:textId="77777777" w:rsidR="00C742C9" w:rsidRPr="00576C77" w:rsidRDefault="00BC5B1D" w:rsidP="00C742C9">
      <w:pPr>
        <w:pStyle w:val="ListParagraph"/>
        <w:tabs>
          <w:tab w:val="left" w:pos="3285"/>
        </w:tabs>
        <w:spacing w:line="276" w:lineRule="auto"/>
        <w:ind w:left="-108" w:firstLine="108"/>
        <w:rPr>
          <w:b/>
          <w:i/>
        </w:rPr>
      </w:pPr>
      <w:r w:rsidRPr="00576C77">
        <w:rPr>
          <w:b/>
          <w:i/>
        </w:rPr>
        <w:t>Maturity structure of debt</w:t>
      </w:r>
    </w:p>
    <w:p w14:paraId="26A1E645" w14:textId="77777777" w:rsidR="00717E3A" w:rsidRPr="00576C77" w:rsidRDefault="00717E3A" w:rsidP="00C742C9">
      <w:pPr>
        <w:pStyle w:val="ListParagraph"/>
        <w:tabs>
          <w:tab w:val="left" w:pos="3285"/>
        </w:tabs>
        <w:spacing w:line="276" w:lineRule="auto"/>
        <w:ind w:left="-108" w:firstLine="108"/>
        <w:rPr>
          <w:b/>
          <w:i/>
        </w:rPr>
      </w:pPr>
    </w:p>
    <w:p w14:paraId="2C0BA522" w14:textId="77777777" w:rsidR="00C742C9" w:rsidRPr="00576C77" w:rsidRDefault="00BC5B1D" w:rsidP="00C742C9">
      <w:pPr>
        <w:pStyle w:val="ListParagraph"/>
        <w:tabs>
          <w:tab w:val="left" w:pos="3285"/>
        </w:tabs>
        <w:spacing w:line="276" w:lineRule="auto"/>
        <w:ind w:left="-108" w:firstLine="108"/>
      </w:pPr>
      <w:r w:rsidRPr="00576C77">
        <w:t>Limits on the maturity structure of debt help control refinancing risk.</w:t>
      </w:r>
    </w:p>
    <w:tbl>
      <w:tblPr>
        <w:tblW w:w="9072" w:type="dxa"/>
        <w:tblInd w:w="-5" w:type="dxa"/>
        <w:tblLook w:val="04A0" w:firstRow="1" w:lastRow="0" w:firstColumn="1" w:lastColumn="0" w:noHBand="0" w:noVBand="1"/>
      </w:tblPr>
      <w:tblGrid>
        <w:gridCol w:w="5387"/>
        <w:gridCol w:w="1843"/>
        <w:gridCol w:w="1842"/>
      </w:tblGrid>
      <w:tr w:rsidR="00937FCD" w14:paraId="78991B2B" w14:textId="77777777" w:rsidTr="006E3845">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AC871" w14:textId="77777777" w:rsidR="0050205A" w:rsidRPr="00576C77" w:rsidRDefault="00BC5B1D" w:rsidP="00C742C9">
            <w:pPr>
              <w:rPr>
                <w:color w:val="000000"/>
              </w:rPr>
            </w:pPr>
            <w:r w:rsidRPr="00576C77">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F786EA4" w14:textId="77777777" w:rsidR="0050205A" w:rsidRPr="00576C77" w:rsidRDefault="00BC5B1D" w:rsidP="00C742C9">
            <w:pPr>
              <w:jc w:val="center"/>
              <w:rPr>
                <w:color w:val="000000"/>
              </w:rPr>
            </w:pPr>
            <w:r w:rsidRPr="00576C77">
              <w:rPr>
                <w:color w:val="000000"/>
              </w:rPr>
              <w:t>Upper Limit</w:t>
            </w:r>
          </w:p>
        </w:tc>
        <w:tc>
          <w:tcPr>
            <w:tcW w:w="1842" w:type="dxa"/>
            <w:tcBorders>
              <w:top w:val="single" w:sz="4" w:space="0" w:color="auto"/>
              <w:left w:val="nil"/>
              <w:bottom w:val="single" w:sz="4" w:space="0" w:color="auto"/>
              <w:right w:val="single" w:sz="4" w:space="0" w:color="auto"/>
            </w:tcBorders>
          </w:tcPr>
          <w:p w14:paraId="2A397062" w14:textId="77777777" w:rsidR="0050205A" w:rsidRPr="00576C77" w:rsidRDefault="00BC5B1D" w:rsidP="00C742C9">
            <w:pPr>
              <w:jc w:val="center"/>
              <w:rPr>
                <w:color w:val="000000"/>
              </w:rPr>
            </w:pPr>
            <w:r w:rsidRPr="00576C77">
              <w:rPr>
                <w:color w:val="000000"/>
              </w:rPr>
              <w:t>Lower limit</w:t>
            </w:r>
          </w:p>
        </w:tc>
      </w:tr>
      <w:tr w:rsidR="00937FCD" w14:paraId="20E19DA9" w14:textId="77777777" w:rsidTr="006E3845">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24B429F9" w14:textId="77777777" w:rsidR="0050205A" w:rsidRPr="00576C77" w:rsidRDefault="00BC5B1D" w:rsidP="00C742C9">
            <w:pPr>
              <w:rPr>
                <w:color w:val="000000"/>
              </w:rPr>
            </w:pPr>
            <w:r w:rsidRPr="00576C77">
              <w:rPr>
                <w:color w:val="000000"/>
              </w:rPr>
              <w:t>Under 12 months</w:t>
            </w:r>
          </w:p>
        </w:tc>
        <w:tc>
          <w:tcPr>
            <w:tcW w:w="1843" w:type="dxa"/>
            <w:tcBorders>
              <w:top w:val="nil"/>
              <w:left w:val="nil"/>
              <w:bottom w:val="single" w:sz="4" w:space="0" w:color="auto"/>
              <w:right w:val="single" w:sz="4" w:space="0" w:color="auto"/>
            </w:tcBorders>
            <w:shd w:val="clear" w:color="auto" w:fill="auto"/>
            <w:noWrap/>
            <w:vAlign w:val="bottom"/>
            <w:hideMark/>
          </w:tcPr>
          <w:p w14:paraId="2EBAF7EB" w14:textId="77777777" w:rsidR="0050205A" w:rsidRPr="00576C77" w:rsidRDefault="00BC5B1D" w:rsidP="00C742C9">
            <w:pPr>
              <w:jc w:val="right"/>
              <w:rPr>
                <w:color w:val="000000"/>
              </w:rPr>
            </w:pPr>
            <w:r w:rsidRPr="00576C77">
              <w:rPr>
                <w:color w:val="000000"/>
              </w:rPr>
              <w:t>75%</w:t>
            </w:r>
          </w:p>
        </w:tc>
        <w:tc>
          <w:tcPr>
            <w:tcW w:w="1842" w:type="dxa"/>
            <w:tcBorders>
              <w:top w:val="nil"/>
              <w:left w:val="nil"/>
              <w:bottom w:val="single" w:sz="4" w:space="0" w:color="auto"/>
              <w:right w:val="single" w:sz="4" w:space="0" w:color="auto"/>
            </w:tcBorders>
          </w:tcPr>
          <w:p w14:paraId="55C5D0A1" w14:textId="77777777" w:rsidR="0050205A" w:rsidRPr="00576C77" w:rsidRDefault="00BC5B1D" w:rsidP="00C742C9">
            <w:pPr>
              <w:jc w:val="right"/>
              <w:rPr>
                <w:color w:val="000000"/>
              </w:rPr>
            </w:pPr>
            <w:r w:rsidRPr="00576C77">
              <w:rPr>
                <w:color w:val="000000"/>
              </w:rPr>
              <w:t>0%</w:t>
            </w:r>
          </w:p>
        </w:tc>
      </w:tr>
      <w:tr w:rsidR="00937FCD" w14:paraId="39B7167A" w14:textId="77777777" w:rsidTr="006E3845">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0A6A28D3" w14:textId="77777777" w:rsidR="0050205A" w:rsidRPr="00576C77" w:rsidRDefault="00BC5B1D" w:rsidP="00C742C9">
            <w:pPr>
              <w:rPr>
                <w:color w:val="000000"/>
              </w:rPr>
            </w:pPr>
            <w:r w:rsidRPr="00576C77">
              <w:rPr>
                <w:color w:val="000000"/>
              </w:rPr>
              <w:t xml:space="preserve">12 months and within 2 </w:t>
            </w:r>
            <w:r w:rsidRPr="00576C77">
              <w:rPr>
                <w:color w:val="000000"/>
              </w:rPr>
              <w:t>years</w:t>
            </w:r>
          </w:p>
        </w:tc>
        <w:tc>
          <w:tcPr>
            <w:tcW w:w="1843" w:type="dxa"/>
            <w:tcBorders>
              <w:top w:val="nil"/>
              <w:left w:val="nil"/>
              <w:bottom w:val="single" w:sz="4" w:space="0" w:color="auto"/>
              <w:right w:val="single" w:sz="4" w:space="0" w:color="auto"/>
            </w:tcBorders>
            <w:shd w:val="clear" w:color="auto" w:fill="auto"/>
            <w:noWrap/>
            <w:vAlign w:val="bottom"/>
            <w:hideMark/>
          </w:tcPr>
          <w:p w14:paraId="25ACE49F" w14:textId="77777777" w:rsidR="0050205A" w:rsidRPr="00576C77" w:rsidRDefault="00BC5B1D" w:rsidP="00C742C9">
            <w:pPr>
              <w:jc w:val="right"/>
              <w:rPr>
                <w:color w:val="000000"/>
              </w:rPr>
            </w:pPr>
            <w:r w:rsidRPr="00576C77">
              <w:rPr>
                <w:color w:val="000000"/>
              </w:rPr>
              <w:t>75%</w:t>
            </w:r>
          </w:p>
        </w:tc>
        <w:tc>
          <w:tcPr>
            <w:tcW w:w="1842" w:type="dxa"/>
            <w:tcBorders>
              <w:top w:val="nil"/>
              <w:left w:val="nil"/>
              <w:bottom w:val="single" w:sz="4" w:space="0" w:color="auto"/>
              <w:right w:val="single" w:sz="4" w:space="0" w:color="auto"/>
            </w:tcBorders>
          </w:tcPr>
          <w:p w14:paraId="74CB638D" w14:textId="77777777" w:rsidR="0050205A" w:rsidRPr="00576C77" w:rsidRDefault="00BC5B1D" w:rsidP="00C742C9">
            <w:pPr>
              <w:jc w:val="right"/>
              <w:rPr>
                <w:color w:val="000000"/>
              </w:rPr>
            </w:pPr>
            <w:r w:rsidRPr="00576C77">
              <w:rPr>
                <w:color w:val="000000"/>
              </w:rPr>
              <w:t>0%</w:t>
            </w:r>
          </w:p>
        </w:tc>
      </w:tr>
      <w:tr w:rsidR="00937FCD" w14:paraId="3CB98B5F" w14:textId="77777777" w:rsidTr="006E3845">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3FE622B5" w14:textId="77777777" w:rsidR="0050205A" w:rsidRPr="00576C77" w:rsidRDefault="00BC5B1D" w:rsidP="00C742C9">
            <w:pPr>
              <w:rPr>
                <w:color w:val="000000"/>
              </w:rPr>
            </w:pPr>
            <w:r w:rsidRPr="00576C77">
              <w:rPr>
                <w:color w:val="000000"/>
              </w:rPr>
              <w:t>2 years and within 5 years</w:t>
            </w:r>
          </w:p>
        </w:tc>
        <w:tc>
          <w:tcPr>
            <w:tcW w:w="1843" w:type="dxa"/>
            <w:tcBorders>
              <w:top w:val="nil"/>
              <w:left w:val="nil"/>
              <w:bottom w:val="single" w:sz="4" w:space="0" w:color="auto"/>
              <w:right w:val="single" w:sz="4" w:space="0" w:color="auto"/>
            </w:tcBorders>
            <w:shd w:val="clear" w:color="auto" w:fill="auto"/>
            <w:noWrap/>
            <w:vAlign w:val="bottom"/>
            <w:hideMark/>
          </w:tcPr>
          <w:p w14:paraId="7ACE522B" w14:textId="77777777" w:rsidR="0050205A" w:rsidRPr="00576C77" w:rsidRDefault="00BC5B1D" w:rsidP="00C742C9">
            <w:pPr>
              <w:jc w:val="right"/>
              <w:rPr>
                <w:color w:val="000000"/>
              </w:rPr>
            </w:pPr>
            <w:r w:rsidRPr="00576C77">
              <w:rPr>
                <w:color w:val="000000"/>
              </w:rPr>
              <w:t>75%</w:t>
            </w:r>
          </w:p>
        </w:tc>
        <w:tc>
          <w:tcPr>
            <w:tcW w:w="1842" w:type="dxa"/>
            <w:tcBorders>
              <w:top w:val="nil"/>
              <w:left w:val="nil"/>
              <w:bottom w:val="single" w:sz="4" w:space="0" w:color="auto"/>
              <w:right w:val="single" w:sz="4" w:space="0" w:color="auto"/>
            </w:tcBorders>
          </w:tcPr>
          <w:p w14:paraId="58332259" w14:textId="77777777" w:rsidR="0050205A" w:rsidRPr="00576C77" w:rsidRDefault="00BC5B1D" w:rsidP="00C742C9">
            <w:pPr>
              <w:jc w:val="right"/>
              <w:rPr>
                <w:color w:val="000000"/>
              </w:rPr>
            </w:pPr>
            <w:r w:rsidRPr="00576C77">
              <w:rPr>
                <w:color w:val="000000"/>
              </w:rPr>
              <w:t>0%</w:t>
            </w:r>
          </w:p>
        </w:tc>
      </w:tr>
      <w:tr w:rsidR="00937FCD" w14:paraId="3FF34686" w14:textId="77777777" w:rsidTr="006E3845">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35248997" w14:textId="77777777" w:rsidR="0050205A" w:rsidRPr="00576C77" w:rsidRDefault="00BC5B1D" w:rsidP="00C742C9">
            <w:pPr>
              <w:rPr>
                <w:color w:val="000000"/>
              </w:rPr>
            </w:pPr>
            <w:r w:rsidRPr="00576C77">
              <w:rPr>
                <w:color w:val="000000"/>
              </w:rPr>
              <w:t>5 years and within 10 years</w:t>
            </w:r>
          </w:p>
        </w:tc>
        <w:tc>
          <w:tcPr>
            <w:tcW w:w="1843" w:type="dxa"/>
            <w:tcBorders>
              <w:top w:val="nil"/>
              <w:left w:val="nil"/>
              <w:bottom w:val="single" w:sz="4" w:space="0" w:color="auto"/>
              <w:right w:val="single" w:sz="4" w:space="0" w:color="auto"/>
            </w:tcBorders>
            <w:shd w:val="clear" w:color="auto" w:fill="auto"/>
            <w:noWrap/>
            <w:vAlign w:val="bottom"/>
            <w:hideMark/>
          </w:tcPr>
          <w:p w14:paraId="55BF23AC" w14:textId="77777777" w:rsidR="0050205A" w:rsidRPr="00576C77" w:rsidRDefault="00BC5B1D" w:rsidP="00C742C9">
            <w:pPr>
              <w:jc w:val="right"/>
              <w:rPr>
                <w:color w:val="000000"/>
              </w:rPr>
            </w:pPr>
            <w:r w:rsidRPr="00576C77">
              <w:rPr>
                <w:color w:val="000000"/>
              </w:rPr>
              <w:t>75%</w:t>
            </w:r>
          </w:p>
        </w:tc>
        <w:tc>
          <w:tcPr>
            <w:tcW w:w="1842" w:type="dxa"/>
            <w:tcBorders>
              <w:top w:val="nil"/>
              <w:left w:val="nil"/>
              <w:bottom w:val="single" w:sz="4" w:space="0" w:color="auto"/>
              <w:right w:val="single" w:sz="4" w:space="0" w:color="auto"/>
            </w:tcBorders>
          </w:tcPr>
          <w:p w14:paraId="20C851B5" w14:textId="77777777" w:rsidR="0050205A" w:rsidRPr="00576C77" w:rsidRDefault="00BC5B1D" w:rsidP="00C742C9">
            <w:pPr>
              <w:jc w:val="right"/>
              <w:rPr>
                <w:color w:val="000000"/>
              </w:rPr>
            </w:pPr>
            <w:r w:rsidRPr="00576C77">
              <w:rPr>
                <w:color w:val="000000"/>
              </w:rPr>
              <w:t>0%</w:t>
            </w:r>
          </w:p>
        </w:tc>
      </w:tr>
      <w:tr w:rsidR="00937FCD" w14:paraId="0E6D06BC" w14:textId="77777777" w:rsidTr="006E3845">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72E55E3D" w14:textId="77777777" w:rsidR="0050205A" w:rsidRPr="00576C77" w:rsidRDefault="00BC5B1D" w:rsidP="00C742C9">
            <w:pPr>
              <w:rPr>
                <w:color w:val="000000"/>
              </w:rPr>
            </w:pPr>
            <w:r w:rsidRPr="00576C77">
              <w:rPr>
                <w:color w:val="000000"/>
              </w:rPr>
              <w:t>10 years and above</w:t>
            </w:r>
          </w:p>
        </w:tc>
        <w:tc>
          <w:tcPr>
            <w:tcW w:w="1843" w:type="dxa"/>
            <w:tcBorders>
              <w:top w:val="nil"/>
              <w:left w:val="nil"/>
              <w:bottom w:val="single" w:sz="4" w:space="0" w:color="auto"/>
              <w:right w:val="single" w:sz="4" w:space="0" w:color="auto"/>
            </w:tcBorders>
            <w:shd w:val="clear" w:color="auto" w:fill="auto"/>
            <w:noWrap/>
            <w:vAlign w:val="bottom"/>
            <w:hideMark/>
          </w:tcPr>
          <w:p w14:paraId="645D4903" w14:textId="77777777" w:rsidR="0050205A" w:rsidRPr="00576C77" w:rsidRDefault="00BC5B1D" w:rsidP="00C742C9">
            <w:pPr>
              <w:jc w:val="right"/>
              <w:rPr>
                <w:color w:val="000000"/>
              </w:rPr>
            </w:pPr>
            <w:r w:rsidRPr="00576C77">
              <w:rPr>
                <w:color w:val="000000"/>
              </w:rPr>
              <w:t>75%</w:t>
            </w:r>
          </w:p>
        </w:tc>
        <w:tc>
          <w:tcPr>
            <w:tcW w:w="1842" w:type="dxa"/>
            <w:tcBorders>
              <w:top w:val="nil"/>
              <w:left w:val="nil"/>
              <w:bottom w:val="single" w:sz="4" w:space="0" w:color="auto"/>
              <w:right w:val="single" w:sz="4" w:space="0" w:color="auto"/>
            </w:tcBorders>
          </w:tcPr>
          <w:p w14:paraId="69C6E5DC" w14:textId="77777777" w:rsidR="0050205A" w:rsidRPr="00576C77" w:rsidRDefault="00BC5B1D" w:rsidP="00C742C9">
            <w:pPr>
              <w:jc w:val="right"/>
              <w:rPr>
                <w:color w:val="000000"/>
              </w:rPr>
            </w:pPr>
            <w:r w:rsidRPr="00576C77">
              <w:rPr>
                <w:color w:val="000000"/>
              </w:rPr>
              <w:t>25%</w:t>
            </w:r>
          </w:p>
        </w:tc>
      </w:tr>
    </w:tbl>
    <w:p w14:paraId="07A81DA9" w14:textId="77777777" w:rsidR="00C742C9" w:rsidRPr="00576C77" w:rsidRDefault="00BC5B1D" w:rsidP="00C742C9">
      <w:pPr>
        <w:pStyle w:val="ListParagraph"/>
        <w:tabs>
          <w:tab w:val="left" w:pos="0"/>
        </w:tabs>
        <w:spacing w:line="276" w:lineRule="auto"/>
        <w:ind w:left="0"/>
        <w:rPr>
          <w:b/>
          <w:i/>
          <w:color w:val="000000"/>
        </w:rPr>
      </w:pPr>
      <w:r w:rsidRPr="00576C77">
        <w:rPr>
          <w:b/>
          <w:i/>
          <w:color w:val="000000"/>
        </w:rPr>
        <w:lastRenderedPageBreak/>
        <w:t>Investments over 1 year</w:t>
      </w:r>
    </w:p>
    <w:p w14:paraId="57869B2F" w14:textId="77777777" w:rsidR="00717E3A" w:rsidRPr="00576C77" w:rsidRDefault="00717E3A" w:rsidP="00C742C9">
      <w:pPr>
        <w:pStyle w:val="ListParagraph"/>
        <w:tabs>
          <w:tab w:val="left" w:pos="0"/>
        </w:tabs>
        <w:spacing w:line="276" w:lineRule="auto"/>
        <w:ind w:left="0"/>
        <w:rPr>
          <w:b/>
          <w:i/>
          <w:color w:val="000000"/>
        </w:rPr>
      </w:pPr>
    </w:p>
    <w:p w14:paraId="61FC3C27" w14:textId="77777777" w:rsidR="00C742C9" w:rsidRPr="00AD4240" w:rsidRDefault="00BC5B1D" w:rsidP="00C742C9">
      <w:pPr>
        <w:tabs>
          <w:tab w:val="left" w:pos="0"/>
        </w:tabs>
        <w:jc w:val="both"/>
        <w:rPr>
          <w:color w:val="000000"/>
        </w:rPr>
      </w:pPr>
      <w:r w:rsidRPr="00576C77">
        <w:rPr>
          <w:color w:val="000000"/>
        </w:rPr>
        <w:t>Limit on the level of long</w:t>
      </w:r>
      <w:r w:rsidR="006E3845">
        <w:rPr>
          <w:color w:val="000000"/>
        </w:rPr>
        <w:t>-</w:t>
      </w:r>
      <w:r w:rsidRPr="00576C77">
        <w:rPr>
          <w:color w:val="000000"/>
        </w:rPr>
        <w:t>term investments helps to control liquidity, although the majority of these investments are currently held in securities which are readily saleable. The limit is largely determined by the forecast of reserves and balances held at the year-end (currently fo</w:t>
      </w:r>
      <w:r w:rsidRPr="00576C77">
        <w:rPr>
          <w:color w:val="000000"/>
        </w:rPr>
        <w:t>recast to be £</w:t>
      </w:r>
      <w:r w:rsidR="00576C77" w:rsidRPr="00576C77">
        <w:rPr>
          <w:color w:val="000000"/>
        </w:rPr>
        <w:t>74</w:t>
      </w:r>
      <w:r w:rsidRPr="00576C77">
        <w:rPr>
          <w:color w:val="000000"/>
        </w:rPr>
        <w:t>0m). The level of investments will be managed to be in line with the estimated reserves and balances and cash flow at 31 March 202</w:t>
      </w:r>
      <w:r w:rsidR="007F2E26" w:rsidRPr="00576C77">
        <w:rPr>
          <w:color w:val="000000"/>
        </w:rPr>
        <w:t>2</w:t>
      </w:r>
      <w:r w:rsidRPr="00576C77">
        <w:rPr>
          <w:color w:val="000000"/>
        </w:rPr>
        <w:t xml:space="preserve"> (deemed an operational limit which will be reviewed during the year). However, it is anticipated that there </w:t>
      </w:r>
      <w:r w:rsidRPr="00576C77">
        <w:rPr>
          <w:color w:val="000000"/>
        </w:rPr>
        <w:t xml:space="preserve">will be positive cash-flows in year which will require a higher level of investments to be held including bonds held specifically for liquidity </w:t>
      </w:r>
      <w:r w:rsidRPr="00AD4240">
        <w:rPr>
          <w:color w:val="000000"/>
        </w:rPr>
        <w:t>purposes. Therefore</w:t>
      </w:r>
      <w:r w:rsidR="00576C77">
        <w:rPr>
          <w:color w:val="000000"/>
        </w:rPr>
        <w:t>,</w:t>
      </w:r>
      <w:r w:rsidRPr="00AD4240">
        <w:rPr>
          <w:color w:val="000000"/>
        </w:rPr>
        <w:t xml:space="preserve"> it is proposed that the limit for maturities in excess of one year is </w:t>
      </w:r>
      <w:r w:rsidR="00AD4240">
        <w:rPr>
          <w:color w:val="000000"/>
        </w:rPr>
        <w:t>£1,</w:t>
      </w:r>
      <w:r w:rsidR="006E3845">
        <w:rPr>
          <w:color w:val="000000"/>
        </w:rPr>
        <w:t>1</w:t>
      </w:r>
      <w:r w:rsidR="007F2E26" w:rsidRPr="00AD4240">
        <w:rPr>
          <w:color w:val="000000"/>
        </w:rPr>
        <w:t>0</w:t>
      </w:r>
      <w:r w:rsidRPr="00AD4240">
        <w:rPr>
          <w:color w:val="000000"/>
        </w:rPr>
        <w:t>0m for each of t</w:t>
      </w:r>
      <w:r w:rsidRPr="00AD4240">
        <w:rPr>
          <w:color w:val="000000"/>
        </w:rPr>
        <w:t>he years.</w:t>
      </w:r>
    </w:p>
    <w:p w14:paraId="249C9B75" w14:textId="77777777" w:rsidR="00717E3A" w:rsidRPr="00AD4240" w:rsidRDefault="00717E3A" w:rsidP="00C742C9">
      <w:pPr>
        <w:tabs>
          <w:tab w:val="left" w:pos="0"/>
        </w:tabs>
        <w:jc w:val="both"/>
        <w:rPr>
          <w:color w:val="000000"/>
        </w:rPr>
      </w:pPr>
    </w:p>
    <w:tbl>
      <w:tblPr>
        <w:tblStyle w:val="TableGrid"/>
        <w:tblW w:w="9067" w:type="dxa"/>
        <w:tblLook w:val="04A0" w:firstRow="1" w:lastRow="0" w:firstColumn="1" w:lastColumn="0" w:noHBand="0" w:noVBand="1"/>
      </w:tblPr>
      <w:tblGrid>
        <w:gridCol w:w="7225"/>
        <w:gridCol w:w="1842"/>
      </w:tblGrid>
      <w:tr w:rsidR="00937FCD" w14:paraId="537A6153" w14:textId="77777777" w:rsidTr="00C742C9">
        <w:trPr>
          <w:trHeight w:val="300"/>
        </w:trPr>
        <w:tc>
          <w:tcPr>
            <w:tcW w:w="7225" w:type="dxa"/>
            <w:noWrap/>
            <w:hideMark/>
          </w:tcPr>
          <w:p w14:paraId="27049193" w14:textId="77777777" w:rsidR="00C742C9" w:rsidRPr="00AD4240" w:rsidRDefault="00BC5B1D" w:rsidP="00C742C9">
            <w:pPr>
              <w:rPr>
                <w:color w:val="000000"/>
              </w:rPr>
            </w:pPr>
            <w:r w:rsidRPr="00AD4240">
              <w:rPr>
                <w:color w:val="000000"/>
              </w:rPr>
              <w:t> </w:t>
            </w:r>
          </w:p>
        </w:tc>
        <w:tc>
          <w:tcPr>
            <w:tcW w:w="1842" w:type="dxa"/>
            <w:noWrap/>
            <w:hideMark/>
          </w:tcPr>
          <w:p w14:paraId="75518579" w14:textId="77777777" w:rsidR="00C742C9" w:rsidRPr="00AD4240" w:rsidRDefault="00BC5B1D" w:rsidP="00C742C9">
            <w:pPr>
              <w:jc w:val="center"/>
              <w:rPr>
                <w:color w:val="000000"/>
              </w:rPr>
            </w:pPr>
            <w:r w:rsidRPr="00AD4240">
              <w:rPr>
                <w:color w:val="000000"/>
              </w:rPr>
              <w:t>Upper limit</w:t>
            </w:r>
          </w:p>
        </w:tc>
      </w:tr>
      <w:tr w:rsidR="00937FCD" w14:paraId="55A85D08" w14:textId="77777777" w:rsidTr="00C742C9">
        <w:trPr>
          <w:trHeight w:val="300"/>
        </w:trPr>
        <w:tc>
          <w:tcPr>
            <w:tcW w:w="7225" w:type="dxa"/>
            <w:noWrap/>
            <w:hideMark/>
          </w:tcPr>
          <w:p w14:paraId="18F49C6C" w14:textId="77777777" w:rsidR="00C742C9" w:rsidRPr="00AD4240" w:rsidRDefault="00BC5B1D" w:rsidP="00C742C9">
            <w:pPr>
              <w:rPr>
                <w:color w:val="000000"/>
              </w:rPr>
            </w:pPr>
            <w:r w:rsidRPr="00AD4240">
              <w:rPr>
                <w:color w:val="000000"/>
              </w:rPr>
              <w:t>Total invested over 1 year</w:t>
            </w:r>
          </w:p>
        </w:tc>
        <w:tc>
          <w:tcPr>
            <w:tcW w:w="1842" w:type="dxa"/>
            <w:noWrap/>
            <w:hideMark/>
          </w:tcPr>
          <w:p w14:paraId="7B21AAF4" w14:textId="77777777" w:rsidR="00C742C9" w:rsidRPr="00AD4240" w:rsidRDefault="00BC5B1D" w:rsidP="00F3228F">
            <w:pPr>
              <w:jc w:val="center"/>
              <w:rPr>
                <w:color w:val="000000"/>
              </w:rPr>
            </w:pPr>
            <w:r w:rsidRPr="00AD4240">
              <w:rPr>
                <w:color w:val="000000"/>
              </w:rPr>
              <w:t>£</w:t>
            </w:r>
            <w:r w:rsidR="00AD4240" w:rsidRPr="00AD4240">
              <w:rPr>
                <w:color w:val="000000"/>
              </w:rPr>
              <w:t>1,</w:t>
            </w:r>
            <w:r w:rsidR="006E3845">
              <w:rPr>
                <w:color w:val="000000"/>
              </w:rPr>
              <w:t>1</w:t>
            </w:r>
            <w:r w:rsidR="007F2E26" w:rsidRPr="00AD4240">
              <w:rPr>
                <w:color w:val="000000"/>
              </w:rPr>
              <w:t>0</w:t>
            </w:r>
            <w:r w:rsidRPr="00AD4240">
              <w:rPr>
                <w:color w:val="000000"/>
              </w:rPr>
              <w:t>0m</w:t>
            </w:r>
          </w:p>
        </w:tc>
      </w:tr>
      <w:tr w:rsidR="00937FCD" w14:paraId="1A089F4A" w14:textId="77777777" w:rsidTr="00C742C9">
        <w:trPr>
          <w:trHeight w:val="300"/>
        </w:trPr>
        <w:tc>
          <w:tcPr>
            <w:tcW w:w="7225" w:type="dxa"/>
            <w:noWrap/>
          </w:tcPr>
          <w:p w14:paraId="3705E8A1" w14:textId="77777777" w:rsidR="00C742C9" w:rsidRPr="00AD4240" w:rsidRDefault="00BC5B1D" w:rsidP="00D006D1">
            <w:pPr>
              <w:rPr>
                <w:color w:val="000000"/>
              </w:rPr>
            </w:pPr>
            <w:r>
              <w:rPr>
                <w:color w:val="000000"/>
              </w:rPr>
              <w:t>F</w:t>
            </w:r>
            <w:r w:rsidRPr="00AD4240">
              <w:rPr>
                <w:color w:val="000000"/>
              </w:rPr>
              <w:t>orecast at 31 March 202</w:t>
            </w:r>
            <w:r>
              <w:rPr>
                <w:color w:val="000000"/>
              </w:rPr>
              <w:t>3</w:t>
            </w:r>
          </w:p>
        </w:tc>
        <w:tc>
          <w:tcPr>
            <w:tcW w:w="1842" w:type="dxa"/>
            <w:noWrap/>
          </w:tcPr>
          <w:p w14:paraId="78BA3177" w14:textId="77777777" w:rsidR="00C742C9" w:rsidRPr="00AD4240" w:rsidRDefault="00BC5B1D" w:rsidP="00F3228F">
            <w:pPr>
              <w:jc w:val="center"/>
              <w:rPr>
                <w:color w:val="000000"/>
              </w:rPr>
            </w:pPr>
            <w:r w:rsidRPr="00AD4240">
              <w:rPr>
                <w:color w:val="000000"/>
              </w:rPr>
              <w:t>£</w:t>
            </w:r>
            <w:r w:rsidR="00AD4240" w:rsidRPr="00AD4240">
              <w:rPr>
                <w:color w:val="000000"/>
              </w:rPr>
              <w:t>7</w:t>
            </w:r>
            <w:r w:rsidR="00576C77">
              <w:rPr>
                <w:color w:val="000000"/>
              </w:rPr>
              <w:t>4</w:t>
            </w:r>
            <w:r w:rsidRPr="00AD4240">
              <w:rPr>
                <w:color w:val="000000"/>
              </w:rPr>
              <w:t>0m</w:t>
            </w:r>
          </w:p>
        </w:tc>
      </w:tr>
    </w:tbl>
    <w:p w14:paraId="57D39380" w14:textId="77777777" w:rsidR="00717E3A" w:rsidRPr="00AD4240" w:rsidRDefault="00717E3A" w:rsidP="00C742C9">
      <w:pPr>
        <w:rPr>
          <w:b/>
          <w:i/>
          <w:color w:val="000000"/>
        </w:rPr>
      </w:pPr>
    </w:p>
    <w:p w14:paraId="6ACE897D" w14:textId="77777777" w:rsidR="00C742C9" w:rsidRPr="00AD4240" w:rsidRDefault="00BC5B1D" w:rsidP="00C742C9">
      <w:pPr>
        <w:rPr>
          <w:b/>
          <w:i/>
          <w:color w:val="000000"/>
        </w:rPr>
      </w:pPr>
      <w:r w:rsidRPr="00AD4240">
        <w:rPr>
          <w:b/>
          <w:i/>
          <w:color w:val="000000"/>
        </w:rPr>
        <w:t xml:space="preserve">Minimum </w:t>
      </w:r>
      <w:r w:rsidR="00E96927" w:rsidRPr="00AD4240">
        <w:rPr>
          <w:b/>
          <w:i/>
          <w:color w:val="000000"/>
        </w:rPr>
        <w:t>a</w:t>
      </w:r>
      <w:r w:rsidRPr="00AD4240">
        <w:rPr>
          <w:b/>
          <w:i/>
          <w:color w:val="000000"/>
        </w:rPr>
        <w:t xml:space="preserve">verage </w:t>
      </w:r>
      <w:r w:rsidR="00E96927" w:rsidRPr="00AD4240">
        <w:rPr>
          <w:b/>
          <w:i/>
          <w:color w:val="000000"/>
        </w:rPr>
        <w:t>c</w:t>
      </w:r>
      <w:r w:rsidRPr="00AD4240">
        <w:rPr>
          <w:b/>
          <w:i/>
          <w:color w:val="000000"/>
        </w:rPr>
        <w:t xml:space="preserve">redit </w:t>
      </w:r>
      <w:r w:rsidR="00E96927" w:rsidRPr="00AD4240">
        <w:rPr>
          <w:b/>
          <w:i/>
          <w:color w:val="000000"/>
        </w:rPr>
        <w:t>r</w:t>
      </w:r>
      <w:r w:rsidRPr="00AD4240">
        <w:rPr>
          <w:b/>
          <w:i/>
          <w:color w:val="000000"/>
        </w:rPr>
        <w:t>ating</w:t>
      </w:r>
    </w:p>
    <w:p w14:paraId="107D6125" w14:textId="77777777" w:rsidR="006B337B" w:rsidRPr="00AD4240" w:rsidRDefault="006B337B" w:rsidP="00C742C9">
      <w:pPr>
        <w:rPr>
          <w:b/>
          <w:i/>
          <w:color w:val="000000"/>
        </w:rPr>
      </w:pPr>
    </w:p>
    <w:p w14:paraId="35048F1A" w14:textId="77777777" w:rsidR="00C742C9" w:rsidRPr="00AD4240" w:rsidRDefault="00BC5B1D" w:rsidP="00C742C9">
      <w:pPr>
        <w:jc w:val="both"/>
      </w:pPr>
      <w:r w:rsidRPr="00AD4240">
        <w:t>To control credit risk the council requires a very high credit rating from its treasury counterparties.</w:t>
      </w:r>
    </w:p>
    <w:p w14:paraId="0AF296F0" w14:textId="77777777" w:rsidR="00C742C9" w:rsidRPr="00AD4240" w:rsidRDefault="00C742C9" w:rsidP="00C742C9">
      <w:pPr>
        <w:jc w:val="both"/>
      </w:pPr>
    </w:p>
    <w:tbl>
      <w:tblPr>
        <w:tblW w:w="9072" w:type="dxa"/>
        <w:tblInd w:w="-5" w:type="dxa"/>
        <w:tblLook w:val="04A0" w:firstRow="1" w:lastRow="0" w:firstColumn="1" w:lastColumn="0" w:noHBand="0" w:noVBand="1"/>
      </w:tblPr>
      <w:tblGrid>
        <w:gridCol w:w="7230"/>
        <w:gridCol w:w="1842"/>
      </w:tblGrid>
      <w:tr w:rsidR="00937FCD" w14:paraId="52906504" w14:textId="77777777" w:rsidTr="00C742C9">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53B66" w14:textId="77777777" w:rsidR="00C742C9" w:rsidRPr="00AD4240" w:rsidRDefault="00C742C9" w:rsidP="00C742C9">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3147319" w14:textId="77777777" w:rsidR="00C742C9" w:rsidRPr="00AD4240" w:rsidRDefault="00BC5B1D" w:rsidP="00C742C9">
            <w:pPr>
              <w:jc w:val="center"/>
              <w:rPr>
                <w:color w:val="000000"/>
              </w:rPr>
            </w:pPr>
            <w:r w:rsidRPr="00AD4240">
              <w:rPr>
                <w:color w:val="000000"/>
              </w:rPr>
              <w:t>Benchmark</w:t>
            </w:r>
          </w:p>
        </w:tc>
      </w:tr>
      <w:tr w:rsidR="00937FCD" w14:paraId="3DB8C900" w14:textId="77777777" w:rsidTr="00C742C9">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0880299E" w14:textId="77777777" w:rsidR="00C742C9" w:rsidRPr="00AD4240" w:rsidRDefault="00BC5B1D" w:rsidP="00C742C9">
            <w:pPr>
              <w:rPr>
                <w:color w:val="000000"/>
              </w:rPr>
            </w:pPr>
            <w:r w:rsidRPr="00AD4240">
              <w:rPr>
                <w:color w:val="000000"/>
              </w:rPr>
              <w:t>Average counterparty credit rating</w:t>
            </w:r>
          </w:p>
        </w:tc>
        <w:tc>
          <w:tcPr>
            <w:tcW w:w="1842" w:type="dxa"/>
            <w:tcBorders>
              <w:top w:val="nil"/>
              <w:left w:val="nil"/>
              <w:bottom w:val="single" w:sz="4" w:space="0" w:color="auto"/>
              <w:right w:val="single" w:sz="4" w:space="0" w:color="auto"/>
            </w:tcBorders>
            <w:shd w:val="clear" w:color="auto" w:fill="auto"/>
            <w:noWrap/>
            <w:vAlign w:val="bottom"/>
          </w:tcPr>
          <w:p w14:paraId="37C939BD" w14:textId="77777777" w:rsidR="00C742C9" w:rsidRPr="00354B3D" w:rsidRDefault="00BC5B1D" w:rsidP="00F3228F">
            <w:pPr>
              <w:jc w:val="center"/>
              <w:rPr>
                <w:color w:val="000000"/>
              </w:rPr>
            </w:pPr>
            <w:r w:rsidRPr="00834117">
              <w:rPr>
                <w:color w:val="000000"/>
              </w:rPr>
              <w:t>A</w:t>
            </w:r>
          </w:p>
        </w:tc>
      </w:tr>
    </w:tbl>
    <w:p w14:paraId="340BA2E6" w14:textId="77777777" w:rsidR="00BC5B1D" w:rsidRDefault="00BC5B1D" w:rsidP="00BC5B1D">
      <w:pPr>
        <w:jc w:val="both"/>
        <w:rPr>
          <w:b/>
          <w:i/>
          <w:color w:val="000000"/>
        </w:rPr>
      </w:pPr>
    </w:p>
    <w:p w14:paraId="2D07D821" w14:textId="348EFAB3" w:rsidR="005F6A45" w:rsidRDefault="00BC5B1D" w:rsidP="00BC5B1D">
      <w:pPr>
        <w:jc w:val="both"/>
        <w:rPr>
          <w:b/>
          <w:i/>
          <w:color w:val="000000"/>
        </w:rPr>
      </w:pPr>
      <w:r>
        <w:rPr>
          <w:b/>
          <w:i/>
          <w:color w:val="000000"/>
        </w:rPr>
        <w:t>Liquidity Risk Indicator</w:t>
      </w:r>
    </w:p>
    <w:p w14:paraId="6C3472CD" w14:textId="77777777" w:rsidR="00BC5B1D" w:rsidRDefault="00BC5B1D" w:rsidP="00BC5B1D">
      <w:pPr>
        <w:jc w:val="both"/>
        <w:rPr>
          <w:b/>
          <w:bCs/>
          <w:sz w:val="28"/>
          <w:szCs w:val="28"/>
        </w:rPr>
      </w:pPr>
    </w:p>
    <w:tbl>
      <w:tblPr>
        <w:tblW w:w="9072" w:type="dxa"/>
        <w:tblInd w:w="-5" w:type="dxa"/>
        <w:tblLook w:val="04A0" w:firstRow="1" w:lastRow="0" w:firstColumn="1" w:lastColumn="0" w:noHBand="0" w:noVBand="1"/>
      </w:tblPr>
      <w:tblGrid>
        <w:gridCol w:w="7230"/>
        <w:gridCol w:w="1842"/>
      </w:tblGrid>
      <w:tr w:rsidR="00937FCD" w14:paraId="6E0C15E1" w14:textId="77777777" w:rsidTr="00834117">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B30F3" w14:textId="77777777" w:rsidR="005F6A45" w:rsidRPr="00AD4240" w:rsidRDefault="005F6A45" w:rsidP="00834117">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F918E47" w14:textId="77777777" w:rsidR="005F6A45" w:rsidRPr="00AD4240" w:rsidRDefault="00BC5B1D" w:rsidP="00834117">
            <w:pPr>
              <w:jc w:val="center"/>
              <w:rPr>
                <w:color w:val="000000"/>
              </w:rPr>
            </w:pPr>
            <w:r>
              <w:rPr>
                <w:color w:val="000000"/>
              </w:rPr>
              <w:t>Target</w:t>
            </w:r>
          </w:p>
        </w:tc>
      </w:tr>
      <w:tr w:rsidR="00937FCD" w14:paraId="153793DA" w14:textId="77777777" w:rsidTr="00834117">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60B03BA4" w14:textId="77777777" w:rsidR="005F6A45" w:rsidRPr="00AD4240" w:rsidRDefault="00BC5B1D" w:rsidP="00F3228F">
            <w:pPr>
              <w:rPr>
                <w:color w:val="000000"/>
              </w:rPr>
            </w:pPr>
            <w:r w:rsidRPr="005F6A45">
              <w:rPr>
                <w:color w:val="000000"/>
              </w:rPr>
              <w:t>Total sum borrowed in past 3 months without prior notice</w:t>
            </w:r>
          </w:p>
        </w:tc>
        <w:tc>
          <w:tcPr>
            <w:tcW w:w="1842" w:type="dxa"/>
            <w:tcBorders>
              <w:top w:val="nil"/>
              <w:left w:val="nil"/>
              <w:bottom w:val="single" w:sz="4" w:space="0" w:color="auto"/>
              <w:right w:val="single" w:sz="4" w:space="0" w:color="auto"/>
            </w:tcBorders>
            <w:shd w:val="clear" w:color="auto" w:fill="auto"/>
            <w:noWrap/>
            <w:vAlign w:val="bottom"/>
          </w:tcPr>
          <w:p w14:paraId="63ECF9CA" w14:textId="77777777" w:rsidR="005F6A45" w:rsidRPr="00354B3D" w:rsidRDefault="00BC5B1D" w:rsidP="00F3228F">
            <w:pPr>
              <w:jc w:val="center"/>
              <w:rPr>
                <w:color w:val="000000"/>
              </w:rPr>
            </w:pPr>
            <w:r>
              <w:rPr>
                <w:color w:val="000000"/>
              </w:rPr>
              <w:t>£50m</w:t>
            </w:r>
          </w:p>
        </w:tc>
      </w:tr>
    </w:tbl>
    <w:p w14:paraId="300F76DC" w14:textId="77777777" w:rsidR="00BC5B1D" w:rsidRDefault="00BC5B1D" w:rsidP="0078712C">
      <w:pPr>
        <w:jc w:val="both"/>
      </w:pPr>
    </w:p>
    <w:p w14:paraId="130CF12D" w14:textId="33251125" w:rsidR="0078712C" w:rsidRPr="006E3845" w:rsidRDefault="00BC5B1D" w:rsidP="0078712C">
      <w:pPr>
        <w:jc w:val="both"/>
      </w:pPr>
      <w:r w:rsidRPr="006E3845">
        <w:t>The</w:t>
      </w:r>
      <w:r w:rsidR="006E3845">
        <w:t xml:space="preserve"> council</w:t>
      </w:r>
      <w:r w:rsidRPr="006E3845">
        <w:t xml:space="preserve"> has adopted a voluntary measure of its exposure to liquidity risk by monitoring the amount it can borrow each quarter without giving prior notice.</w:t>
      </w:r>
    </w:p>
    <w:p w14:paraId="728D17B2" w14:textId="3D751BF5" w:rsidR="0078712C" w:rsidRDefault="0078712C" w:rsidP="00C742C9">
      <w:pPr>
        <w:spacing w:after="240"/>
        <w:jc w:val="both"/>
        <w:rPr>
          <w:sz w:val="28"/>
          <w:szCs w:val="28"/>
        </w:rPr>
      </w:pPr>
    </w:p>
    <w:p w14:paraId="50BE6E01" w14:textId="77777777" w:rsidR="00BC5B1D" w:rsidRPr="006E3845" w:rsidRDefault="00BC5B1D" w:rsidP="00C742C9">
      <w:pPr>
        <w:spacing w:after="240"/>
        <w:jc w:val="both"/>
        <w:rPr>
          <w:sz w:val="28"/>
          <w:szCs w:val="28"/>
        </w:rPr>
      </w:pPr>
    </w:p>
    <w:p w14:paraId="29D30B64" w14:textId="77777777" w:rsidR="005F6A45" w:rsidRDefault="005F6A45" w:rsidP="00C742C9">
      <w:pPr>
        <w:spacing w:after="240"/>
        <w:jc w:val="both"/>
        <w:rPr>
          <w:b/>
          <w:bCs/>
          <w:sz w:val="28"/>
          <w:szCs w:val="28"/>
        </w:rPr>
      </w:pPr>
    </w:p>
    <w:sectPr w:rsidR="005F6A45" w:rsidSect="00C74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B85"/>
    <w:multiLevelType w:val="hybridMultilevel"/>
    <w:tmpl w:val="27185112"/>
    <w:lvl w:ilvl="0" w:tplc="2C24DEA2">
      <w:start w:val="1"/>
      <w:numFmt w:val="bullet"/>
      <w:lvlText w:val=""/>
      <w:lvlJc w:val="left"/>
      <w:pPr>
        <w:ind w:left="360" w:hanging="360"/>
      </w:pPr>
      <w:rPr>
        <w:rFonts w:ascii="Symbol" w:hAnsi="Symbol" w:hint="default"/>
      </w:rPr>
    </w:lvl>
    <w:lvl w:ilvl="1" w:tplc="7C6479B4" w:tentative="1">
      <w:start w:val="1"/>
      <w:numFmt w:val="bullet"/>
      <w:lvlText w:val="o"/>
      <w:lvlJc w:val="left"/>
      <w:pPr>
        <w:ind w:left="1080" w:hanging="360"/>
      </w:pPr>
      <w:rPr>
        <w:rFonts w:ascii="Courier New" w:hAnsi="Courier New" w:cs="Courier New" w:hint="default"/>
      </w:rPr>
    </w:lvl>
    <w:lvl w:ilvl="2" w:tplc="8AEE4A0E" w:tentative="1">
      <w:start w:val="1"/>
      <w:numFmt w:val="bullet"/>
      <w:lvlText w:val=""/>
      <w:lvlJc w:val="left"/>
      <w:pPr>
        <w:ind w:left="1800" w:hanging="360"/>
      </w:pPr>
      <w:rPr>
        <w:rFonts w:ascii="Wingdings" w:hAnsi="Wingdings" w:hint="default"/>
      </w:rPr>
    </w:lvl>
    <w:lvl w:ilvl="3" w:tplc="87CCFFCE" w:tentative="1">
      <w:start w:val="1"/>
      <w:numFmt w:val="bullet"/>
      <w:lvlText w:val=""/>
      <w:lvlJc w:val="left"/>
      <w:pPr>
        <w:ind w:left="2520" w:hanging="360"/>
      </w:pPr>
      <w:rPr>
        <w:rFonts w:ascii="Symbol" w:hAnsi="Symbol" w:hint="default"/>
      </w:rPr>
    </w:lvl>
    <w:lvl w:ilvl="4" w:tplc="1F8C9E36" w:tentative="1">
      <w:start w:val="1"/>
      <w:numFmt w:val="bullet"/>
      <w:lvlText w:val="o"/>
      <w:lvlJc w:val="left"/>
      <w:pPr>
        <w:ind w:left="3240" w:hanging="360"/>
      </w:pPr>
      <w:rPr>
        <w:rFonts w:ascii="Courier New" w:hAnsi="Courier New" w:cs="Courier New" w:hint="default"/>
      </w:rPr>
    </w:lvl>
    <w:lvl w:ilvl="5" w:tplc="1E286A18" w:tentative="1">
      <w:start w:val="1"/>
      <w:numFmt w:val="bullet"/>
      <w:lvlText w:val=""/>
      <w:lvlJc w:val="left"/>
      <w:pPr>
        <w:ind w:left="3960" w:hanging="360"/>
      </w:pPr>
      <w:rPr>
        <w:rFonts w:ascii="Wingdings" w:hAnsi="Wingdings" w:hint="default"/>
      </w:rPr>
    </w:lvl>
    <w:lvl w:ilvl="6" w:tplc="766A6372" w:tentative="1">
      <w:start w:val="1"/>
      <w:numFmt w:val="bullet"/>
      <w:lvlText w:val=""/>
      <w:lvlJc w:val="left"/>
      <w:pPr>
        <w:ind w:left="4680" w:hanging="360"/>
      </w:pPr>
      <w:rPr>
        <w:rFonts w:ascii="Symbol" w:hAnsi="Symbol" w:hint="default"/>
      </w:rPr>
    </w:lvl>
    <w:lvl w:ilvl="7" w:tplc="931072EC" w:tentative="1">
      <w:start w:val="1"/>
      <w:numFmt w:val="bullet"/>
      <w:lvlText w:val="o"/>
      <w:lvlJc w:val="left"/>
      <w:pPr>
        <w:ind w:left="5400" w:hanging="360"/>
      </w:pPr>
      <w:rPr>
        <w:rFonts w:ascii="Courier New" w:hAnsi="Courier New" w:cs="Courier New" w:hint="default"/>
      </w:rPr>
    </w:lvl>
    <w:lvl w:ilvl="8" w:tplc="5A62F2B0" w:tentative="1">
      <w:start w:val="1"/>
      <w:numFmt w:val="bullet"/>
      <w:lvlText w:val=""/>
      <w:lvlJc w:val="left"/>
      <w:pPr>
        <w:ind w:left="6120" w:hanging="360"/>
      </w:pPr>
      <w:rPr>
        <w:rFonts w:ascii="Wingdings" w:hAnsi="Wingdings" w:hint="default"/>
      </w:rPr>
    </w:lvl>
  </w:abstractNum>
  <w:abstractNum w:abstractNumId="1" w15:restartNumberingAfterBreak="0">
    <w:nsid w:val="07A86965"/>
    <w:multiLevelType w:val="hybridMultilevel"/>
    <w:tmpl w:val="AD80A86E"/>
    <w:lvl w:ilvl="0" w:tplc="CC2A03AA">
      <w:start w:val="1"/>
      <w:numFmt w:val="lowerLetter"/>
      <w:lvlText w:val="%1)"/>
      <w:lvlJc w:val="left"/>
      <w:pPr>
        <w:ind w:left="360" w:hanging="360"/>
      </w:pPr>
      <w:rPr>
        <w:rFonts w:cs="Times New Roman"/>
        <w:b w:val="0"/>
      </w:rPr>
    </w:lvl>
    <w:lvl w:ilvl="1" w:tplc="DB5AC784">
      <w:start w:val="1"/>
      <w:numFmt w:val="lowerLetter"/>
      <w:lvlText w:val="%2."/>
      <w:lvlJc w:val="left"/>
      <w:pPr>
        <w:ind w:left="1080" w:hanging="360"/>
      </w:pPr>
      <w:rPr>
        <w:rFonts w:cs="Times New Roman"/>
      </w:rPr>
    </w:lvl>
    <w:lvl w:ilvl="2" w:tplc="B7D4DBC2" w:tentative="1">
      <w:start w:val="1"/>
      <w:numFmt w:val="lowerRoman"/>
      <w:lvlText w:val="%3."/>
      <w:lvlJc w:val="right"/>
      <w:pPr>
        <w:ind w:left="1800" w:hanging="180"/>
      </w:pPr>
      <w:rPr>
        <w:rFonts w:cs="Times New Roman"/>
      </w:rPr>
    </w:lvl>
    <w:lvl w:ilvl="3" w:tplc="1F9886CC" w:tentative="1">
      <w:start w:val="1"/>
      <w:numFmt w:val="decimal"/>
      <w:lvlText w:val="%4."/>
      <w:lvlJc w:val="left"/>
      <w:pPr>
        <w:ind w:left="2520" w:hanging="360"/>
      </w:pPr>
      <w:rPr>
        <w:rFonts w:cs="Times New Roman"/>
      </w:rPr>
    </w:lvl>
    <w:lvl w:ilvl="4" w:tplc="C6FA01E4" w:tentative="1">
      <w:start w:val="1"/>
      <w:numFmt w:val="lowerLetter"/>
      <w:lvlText w:val="%5."/>
      <w:lvlJc w:val="left"/>
      <w:pPr>
        <w:ind w:left="3240" w:hanging="360"/>
      </w:pPr>
      <w:rPr>
        <w:rFonts w:cs="Times New Roman"/>
      </w:rPr>
    </w:lvl>
    <w:lvl w:ilvl="5" w:tplc="D7649424" w:tentative="1">
      <w:start w:val="1"/>
      <w:numFmt w:val="lowerRoman"/>
      <w:lvlText w:val="%6."/>
      <w:lvlJc w:val="right"/>
      <w:pPr>
        <w:ind w:left="3960" w:hanging="180"/>
      </w:pPr>
      <w:rPr>
        <w:rFonts w:cs="Times New Roman"/>
      </w:rPr>
    </w:lvl>
    <w:lvl w:ilvl="6" w:tplc="B5BEBB18" w:tentative="1">
      <w:start w:val="1"/>
      <w:numFmt w:val="decimal"/>
      <w:lvlText w:val="%7."/>
      <w:lvlJc w:val="left"/>
      <w:pPr>
        <w:ind w:left="4680" w:hanging="360"/>
      </w:pPr>
      <w:rPr>
        <w:rFonts w:cs="Times New Roman"/>
      </w:rPr>
    </w:lvl>
    <w:lvl w:ilvl="7" w:tplc="29169AC8" w:tentative="1">
      <w:start w:val="1"/>
      <w:numFmt w:val="lowerLetter"/>
      <w:lvlText w:val="%8."/>
      <w:lvlJc w:val="left"/>
      <w:pPr>
        <w:ind w:left="5400" w:hanging="360"/>
      </w:pPr>
      <w:rPr>
        <w:rFonts w:cs="Times New Roman"/>
      </w:rPr>
    </w:lvl>
    <w:lvl w:ilvl="8" w:tplc="5CEE9560" w:tentative="1">
      <w:start w:val="1"/>
      <w:numFmt w:val="lowerRoman"/>
      <w:lvlText w:val="%9."/>
      <w:lvlJc w:val="right"/>
      <w:pPr>
        <w:ind w:left="6120" w:hanging="180"/>
      </w:pPr>
      <w:rPr>
        <w:rFonts w:cs="Times New Roman"/>
      </w:rPr>
    </w:lvl>
  </w:abstractNum>
  <w:abstractNum w:abstractNumId="2" w15:restartNumberingAfterBreak="0">
    <w:nsid w:val="0862548B"/>
    <w:multiLevelType w:val="hybridMultilevel"/>
    <w:tmpl w:val="4CFCEDB4"/>
    <w:lvl w:ilvl="0" w:tplc="77A0C726">
      <w:start w:val="1"/>
      <w:numFmt w:val="bullet"/>
      <w:lvlText w:val=""/>
      <w:lvlJc w:val="left"/>
      <w:pPr>
        <w:ind w:left="2422" w:hanging="360"/>
      </w:pPr>
      <w:rPr>
        <w:rFonts w:ascii="Symbol" w:hAnsi="Symbol" w:hint="default"/>
      </w:rPr>
    </w:lvl>
    <w:lvl w:ilvl="1" w:tplc="76AC3300">
      <w:start w:val="1"/>
      <w:numFmt w:val="bullet"/>
      <w:lvlText w:val="o"/>
      <w:lvlJc w:val="left"/>
      <w:pPr>
        <w:ind w:left="3142" w:hanging="360"/>
      </w:pPr>
      <w:rPr>
        <w:rFonts w:ascii="Courier New" w:hAnsi="Courier New" w:cs="Courier New" w:hint="default"/>
      </w:rPr>
    </w:lvl>
    <w:lvl w:ilvl="2" w:tplc="EA66EB00" w:tentative="1">
      <w:start w:val="1"/>
      <w:numFmt w:val="bullet"/>
      <w:lvlText w:val=""/>
      <w:lvlJc w:val="left"/>
      <w:pPr>
        <w:ind w:left="3862" w:hanging="360"/>
      </w:pPr>
      <w:rPr>
        <w:rFonts w:ascii="Wingdings" w:hAnsi="Wingdings" w:hint="default"/>
      </w:rPr>
    </w:lvl>
    <w:lvl w:ilvl="3" w:tplc="27B46676" w:tentative="1">
      <w:start w:val="1"/>
      <w:numFmt w:val="bullet"/>
      <w:lvlText w:val=""/>
      <w:lvlJc w:val="left"/>
      <w:pPr>
        <w:ind w:left="4582" w:hanging="360"/>
      </w:pPr>
      <w:rPr>
        <w:rFonts w:ascii="Symbol" w:hAnsi="Symbol" w:hint="default"/>
      </w:rPr>
    </w:lvl>
    <w:lvl w:ilvl="4" w:tplc="1C88E642" w:tentative="1">
      <w:start w:val="1"/>
      <w:numFmt w:val="bullet"/>
      <w:lvlText w:val="o"/>
      <w:lvlJc w:val="left"/>
      <w:pPr>
        <w:ind w:left="5302" w:hanging="360"/>
      </w:pPr>
      <w:rPr>
        <w:rFonts w:ascii="Courier New" w:hAnsi="Courier New" w:cs="Courier New" w:hint="default"/>
      </w:rPr>
    </w:lvl>
    <w:lvl w:ilvl="5" w:tplc="01264F08" w:tentative="1">
      <w:start w:val="1"/>
      <w:numFmt w:val="bullet"/>
      <w:lvlText w:val=""/>
      <w:lvlJc w:val="left"/>
      <w:pPr>
        <w:ind w:left="6022" w:hanging="360"/>
      </w:pPr>
      <w:rPr>
        <w:rFonts w:ascii="Wingdings" w:hAnsi="Wingdings" w:hint="default"/>
      </w:rPr>
    </w:lvl>
    <w:lvl w:ilvl="6" w:tplc="50BE0EA6" w:tentative="1">
      <w:start w:val="1"/>
      <w:numFmt w:val="bullet"/>
      <w:lvlText w:val=""/>
      <w:lvlJc w:val="left"/>
      <w:pPr>
        <w:ind w:left="6742" w:hanging="360"/>
      </w:pPr>
      <w:rPr>
        <w:rFonts w:ascii="Symbol" w:hAnsi="Symbol" w:hint="default"/>
      </w:rPr>
    </w:lvl>
    <w:lvl w:ilvl="7" w:tplc="54B868BA" w:tentative="1">
      <w:start w:val="1"/>
      <w:numFmt w:val="bullet"/>
      <w:lvlText w:val="o"/>
      <w:lvlJc w:val="left"/>
      <w:pPr>
        <w:ind w:left="7462" w:hanging="360"/>
      </w:pPr>
      <w:rPr>
        <w:rFonts w:ascii="Courier New" w:hAnsi="Courier New" w:cs="Courier New" w:hint="default"/>
      </w:rPr>
    </w:lvl>
    <w:lvl w:ilvl="8" w:tplc="1A3E131C" w:tentative="1">
      <w:start w:val="1"/>
      <w:numFmt w:val="bullet"/>
      <w:lvlText w:val=""/>
      <w:lvlJc w:val="left"/>
      <w:pPr>
        <w:ind w:left="8182" w:hanging="360"/>
      </w:pPr>
      <w:rPr>
        <w:rFonts w:ascii="Wingdings" w:hAnsi="Wingdings" w:hint="default"/>
      </w:rPr>
    </w:lvl>
  </w:abstractNum>
  <w:abstractNum w:abstractNumId="3" w15:restartNumberingAfterBreak="0">
    <w:nsid w:val="0A7F5F3E"/>
    <w:multiLevelType w:val="hybridMultilevel"/>
    <w:tmpl w:val="B89E3232"/>
    <w:lvl w:ilvl="0" w:tplc="EF3A1966">
      <w:start w:val="1"/>
      <w:numFmt w:val="bullet"/>
      <w:lvlText w:val=""/>
      <w:lvlJc w:val="left"/>
      <w:pPr>
        <w:tabs>
          <w:tab w:val="num" w:pos="720"/>
        </w:tabs>
        <w:ind w:left="720" w:hanging="360"/>
      </w:pPr>
      <w:rPr>
        <w:rFonts w:ascii="Symbol" w:hAnsi="Symbol" w:hint="default"/>
        <w:color w:val="auto"/>
      </w:rPr>
    </w:lvl>
    <w:lvl w:ilvl="1" w:tplc="D3805AB6">
      <w:numFmt w:val="bullet"/>
      <w:lvlText w:val="•"/>
      <w:lvlJc w:val="left"/>
      <w:pPr>
        <w:ind w:left="1800" w:hanging="720"/>
      </w:pPr>
      <w:rPr>
        <w:rFonts w:ascii="Arial" w:eastAsia="Times New Roman" w:hAnsi="Arial" w:cs="Arial" w:hint="default"/>
      </w:rPr>
    </w:lvl>
    <w:lvl w:ilvl="2" w:tplc="781C31EA" w:tentative="1">
      <w:start w:val="1"/>
      <w:numFmt w:val="bullet"/>
      <w:lvlText w:val=""/>
      <w:lvlJc w:val="left"/>
      <w:pPr>
        <w:ind w:left="2160" w:hanging="360"/>
      </w:pPr>
      <w:rPr>
        <w:rFonts w:ascii="Wingdings" w:hAnsi="Wingdings" w:hint="default"/>
      </w:rPr>
    </w:lvl>
    <w:lvl w:ilvl="3" w:tplc="29C615C2" w:tentative="1">
      <w:start w:val="1"/>
      <w:numFmt w:val="bullet"/>
      <w:lvlText w:val=""/>
      <w:lvlJc w:val="left"/>
      <w:pPr>
        <w:ind w:left="2880" w:hanging="360"/>
      </w:pPr>
      <w:rPr>
        <w:rFonts w:ascii="Symbol" w:hAnsi="Symbol" w:hint="default"/>
      </w:rPr>
    </w:lvl>
    <w:lvl w:ilvl="4" w:tplc="1BF84256" w:tentative="1">
      <w:start w:val="1"/>
      <w:numFmt w:val="bullet"/>
      <w:lvlText w:val="o"/>
      <w:lvlJc w:val="left"/>
      <w:pPr>
        <w:ind w:left="3600" w:hanging="360"/>
      </w:pPr>
      <w:rPr>
        <w:rFonts w:ascii="Courier New" w:hAnsi="Courier New" w:cs="Courier New" w:hint="default"/>
      </w:rPr>
    </w:lvl>
    <w:lvl w:ilvl="5" w:tplc="277AEA58" w:tentative="1">
      <w:start w:val="1"/>
      <w:numFmt w:val="bullet"/>
      <w:lvlText w:val=""/>
      <w:lvlJc w:val="left"/>
      <w:pPr>
        <w:ind w:left="4320" w:hanging="360"/>
      </w:pPr>
      <w:rPr>
        <w:rFonts w:ascii="Wingdings" w:hAnsi="Wingdings" w:hint="default"/>
      </w:rPr>
    </w:lvl>
    <w:lvl w:ilvl="6" w:tplc="EF44BA54" w:tentative="1">
      <w:start w:val="1"/>
      <w:numFmt w:val="bullet"/>
      <w:lvlText w:val=""/>
      <w:lvlJc w:val="left"/>
      <w:pPr>
        <w:ind w:left="5040" w:hanging="360"/>
      </w:pPr>
      <w:rPr>
        <w:rFonts w:ascii="Symbol" w:hAnsi="Symbol" w:hint="default"/>
      </w:rPr>
    </w:lvl>
    <w:lvl w:ilvl="7" w:tplc="DB1EA116" w:tentative="1">
      <w:start w:val="1"/>
      <w:numFmt w:val="bullet"/>
      <w:lvlText w:val="o"/>
      <w:lvlJc w:val="left"/>
      <w:pPr>
        <w:ind w:left="5760" w:hanging="360"/>
      </w:pPr>
      <w:rPr>
        <w:rFonts w:ascii="Courier New" w:hAnsi="Courier New" w:cs="Courier New" w:hint="default"/>
      </w:rPr>
    </w:lvl>
    <w:lvl w:ilvl="8" w:tplc="636475F2" w:tentative="1">
      <w:start w:val="1"/>
      <w:numFmt w:val="bullet"/>
      <w:lvlText w:val=""/>
      <w:lvlJc w:val="left"/>
      <w:pPr>
        <w:ind w:left="6480" w:hanging="360"/>
      </w:pPr>
      <w:rPr>
        <w:rFonts w:ascii="Wingdings" w:hAnsi="Wingdings" w:hint="default"/>
      </w:rPr>
    </w:lvl>
  </w:abstractNum>
  <w:abstractNum w:abstractNumId="4" w15:restartNumberingAfterBreak="0">
    <w:nsid w:val="0E6606B0"/>
    <w:multiLevelType w:val="hybridMultilevel"/>
    <w:tmpl w:val="58E84118"/>
    <w:lvl w:ilvl="0" w:tplc="179E788E">
      <w:start w:val="1"/>
      <w:numFmt w:val="bullet"/>
      <w:lvlText w:val=""/>
      <w:lvlJc w:val="left"/>
      <w:pPr>
        <w:tabs>
          <w:tab w:val="num" w:pos="720"/>
        </w:tabs>
        <w:ind w:left="720" w:hanging="360"/>
      </w:pPr>
      <w:rPr>
        <w:rFonts w:ascii="Symbol" w:hAnsi="Symbol" w:hint="default"/>
        <w:color w:val="auto"/>
      </w:rPr>
    </w:lvl>
    <w:lvl w:ilvl="1" w:tplc="7A9296F4">
      <w:start w:val="1"/>
      <w:numFmt w:val="bullet"/>
      <w:lvlText w:val="o"/>
      <w:lvlJc w:val="left"/>
      <w:pPr>
        <w:tabs>
          <w:tab w:val="num" w:pos="1440"/>
        </w:tabs>
        <w:ind w:left="1440" w:hanging="360"/>
      </w:pPr>
      <w:rPr>
        <w:rFonts w:ascii="Courier New" w:hAnsi="Courier New" w:hint="default"/>
      </w:rPr>
    </w:lvl>
    <w:lvl w:ilvl="2" w:tplc="95A6A534" w:tentative="1">
      <w:start w:val="1"/>
      <w:numFmt w:val="bullet"/>
      <w:lvlText w:val=""/>
      <w:lvlJc w:val="left"/>
      <w:pPr>
        <w:tabs>
          <w:tab w:val="num" w:pos="2160"/>
        </w:tabs>
        <w:ind w:left="2160" w:hanging="360"/>
      </w:pPr>
      <w:rPr>
        <w:rFonts w:ascii="Wingdings" w:hAnsi="Wingdings" w:hint="default"/>
      </w:rPr>
    </w:lvl>
    <w:lvl w:ilvl="3" w:tplc="2A684D9A" w:tentative="1">
      <w:start w:val="1"/>
      <w:numFmt w:val="bullet"/>
      <w:lvlText w:val=""/>
      <w:lvlJc w:val="left"/>
      <w:pPr>
        <w:tabs>
          <w:tab w:val="num" w:pos="2880"/>
        </w:tabs>
        <w:ind w:left="2880" w:hanging="360"/>
      </w:pPr>
      <w:rPr>
        <w:rFonts w:ascii="Symbol" w:hAnsi="Symbol" w:hint="default"/>
      </w:rPr>
    </w:lvl>
    <w:lvl w:ilvl="4" w:tplc="6ABADAFA" w:tentative="1">
      <w:start w:val="1"/>
      <w:numFmt w:val="bullet"/>
      <w:lvlText w:val="o"/>
      <w:lvlJc w:val="left"/>
      <w:pPr>
        <w:tabs>
          <w:tab w:val="num" w:pos="3600"/>
        </w:tabs>
        <w:ind w:left="3600" w:hanging="360"/>
      </w:pPr>
      <w:rPr>
        <w:rFonts w:ascii="Courier New" w:hAnsi="Courier New" w:hint="default"/>
      </w:rPr>
    </w:lvl>
    <w:lvl w:ilvl="5" w:tplc="403CC836" w:tentative="1">
      <w:start w:val="1"/>
      <w:numFmt w:val="bullet"/>
      <w:lvlText w:val=""/>
      <w:lvlJc w:val="left"/>
      <w:pPr>
        <w:tabs>
          <w:tab w:val="num" w:pos="4320"/>
        </w:tabs>
        <w:ind w:left="4320" w:hanging="360"/>
      </w:pPr>
      <w:rPr>
        <w:rFonts w:ascii="Wingdings" w:hAnsi="Wingdings" w:hint="default"/>
      </w:rPr>
    </w:lvl>
    <w:lvl w:ilvl="6" w:tplc="400A2F3C" w:tentative="1">
      <w:start w:val="1"/>
      <w:numFmt w:val="bullet"/>
      <w:lvlText w:val=""/>
      <w:lvlJc w:val="left"/>
      <w:pPr>
        <w:tabs>
          <w:tab w:val="num" w:pos="5040"/>
        </w:tabs>
        <w:ind w:left="5040" w:hanging="360"/>
      </w:pPr>
      <w:rPr>
        <w:rFonts w:ascii="Symbol" w:hAnsi="Symbol" w:hint="default"/>
      </w:rPr>
    </w:lvl>
    <w:lvl w:ilvl="7" w:tplc="5DFAD734" w:tentative="1">
      <w:start w:val="1"/>
      <w:numFmt w:val="bullet"/>
      <w:lvlText w:val="o"/>
      <w:lvlJc w:val="left"/>
      <w:pPr>
        <w:tabs>
          <w:tab w:val="num" w:pos="5760"/>
        </w:tabs>
        <w:ind w:left="5760" w:hanging="360"/>
      </w:pPr>
      <w:rPr>
        <w:rFonts w:ascii="Courier New" w:hAnsi="Courier New" w:hint="default"/>
      </w:rPr>
    </w:lvl>
    <w:lvl w:ilvl="8" w:tplc="65946A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A7FFA"/>
    <w:multiLevelType w:val="hybridMultilevel"/>
    <w:tmpl w:val="59C8B2DE"/>
    <w:lvl w:ilvl="0" w:tplc="71121ED8">
      <w:start w:val="1"/>
      <w:numFmt w:val="bullet"/>
      <w:lvlText w:val="-"/>
      <w:lvlJc w:val="left"/>
      <w:pPr>
        <w:ind w:left="1440" w:hanging="360"/>
      </w:pPr>
      <w:rPr>
        <w:rFonts w:ascii="Courier New" w:hAnsi="Courier New" w:hint="default"/>
      </w:rPr>
    </w:lvl>
    <w:lvl w:ilvl="1" w:tplc="93021CC0" w:tentative="1">
      <w:start w:val="1"/>
      <w:numFmt w:val="bullet"/>
      <w:lvlText w:val="o"/>
      <w:lvlJc w:val="left"/>
      <w:pPr>
        <w:ind w:left="2160" w:hanging="360"/>
      </w:pPr>
      <w:rPr>
        <w:rFonts w:ascii="Courier New" w:hAnsi="Courier New" w:hint="default"/>
      </w:rPr>
    </w:lvl>
    <w:lvl w:ilvl="2" w:tplc="5BF06E6E" w:tentative="1">
      <w:start w:val="1"/>
      <w:numFmt w:val="bullet"/>
      <w:lvlText w:val=""/>
      <w:lvlJc w:val="left"/>
      <w:pPr>
        <w:ind w:left="2880" w:hanging="360"/>
      </w:pPr>
      <w:rPr>
        <w:rFonts w:ascii="Wingdings" w:hAnsi="Wingdings" w:hint="default"/>
      </w:rPr>
    </w:lvl>
    <w:lvl w:ilvl="3" w:tplc="0038A928" w:tentative="1">
      <w:start w:val="1"/>
      <w:numFmt w:val="bullet"/>
      <w:lvlText w:val=""/>
      <w:lvlJc w:val="left"/>
      <w:pPr>
        <w:ind w:left="3600" w:hanging="360"/>
      </w:pPr>
      <w:rPr>
        <w:rFonts w:ascii="Symbol" w:hAnsi="Symbol" w:hint="default"/>
      </w:rPr>
    </w:lvl>
    <w:lvl w:ilvl="4" w:tplc="D52446FA" w:tentative="1">
      <w:start w:val="1"/>
      <w:numFmt w:val="bullet"/>
      <w:lvlText w:val="o"/>
      <w:lvlJc w:val="left"/>
      <w:pPr>
        <w:ind w:left="4320" w:hanging="360"/>
      </w:pPr>
      <w:rPr>
        <w:rFonts w:ascii="Courier New" w:hAnsi="Courier New" w:hint="default"/>
      </w:rPr>
    </w:lvl>
    <w:lvl w:ilvl="5" w:tplc="3DD6A292" w:tentative="1">
      <w:start w:val="1"/>
      <w:numFmt w:val="bullet"/>
      <w:lvlText w:val=""/>
      <w:lvlJc w:val="left"/>
      <w:pPr>
        <w:ind w:left="5040" w:hanging="360"/>
      </w:pPr>
      <w:rPr>
        <w:rFonts w:ascii="Wingdings" w:hAnsi="Wingdings" w:hint="default"/>
      </w:rPr>
    </w:lvl>
    <w:lvl w:ilvl="6" w:tplc="491067DC" w:tentative="1">
      <w:start w:val="1"/>
      <w:numFmt w:val="bullet"/>
      <w:lvlText w:val=""/>
      <w:lvlJc w:val="left"/>
      <w:pPr>
        <w:ind w:left="5760" w:hanging="360"/>
      </w:pPr>
      <w:rPr>
        <w:rFonts w:ascii="Symbol" w:hAnsi="Symbol" w:hint="default"/>
      </w:rPr>
    </w:lvl>
    <w:lvl w:ilvl="7" w:tplc="C27ED82E" w:tentative="1">
      <w:start w:val="1"/>
      <w:numFmt w:val="bullet"/>
      <w:lvlText w:val="o"/>
      <w:lvlJc w:val="left"/>
      <w:pPr>
        <w:ind w:left="6480" w:hanging="360"/>
      </w:pPr>
      <w:rPr>
        <w:rFonts w:ascii="Courier New" w:hAnsi="Courier New" w:hint="default"/>
      </w:rPr>
    </w:lvl>
    <w:lvl w:ilvl="8" w:tplc="E522E194" w:tentative="1">
      <w:start w:val="1"/>
      <w:numFmt w:val="bullet"/>
      <w:lvlText w:val=""/>
      <w:lvlJc w:val="left"/>
      <w:pPr>
        <w:ind w:left="7200" w:hanging="360"/>
      </w:pPr>
      <w:rPr>
        <w:rFonts w:ascii="Wingdings" w:hAnsi="Wingdings" w:hint="default"/>
      </w:rPr>
    </w:lvl>
  </w:abstractNum>
  <w:abstractNum w:abstractNumId="6" w15:restartNumberingAfterBreak="0">
    <w:nsid w:val="168B0E3C"/>
    <w:multiLevelType w:val="hybridMultilevel"/>
    <w:tmpl w:val="89DC3F02"/>
    <w:lvl w:ilvl="0" w:tplc="7F52D382">
      <w:start w:val="1"/>
      <w:numFmt w:val="lowerLetter"/>
      <w:lvlText w:val="%1)"/>
      <w:lvlJc w:val="left"/>
      <w:pPr>
        <w:ind w:left="1800" w:hanging="360"/>
      </w:pPr>
      <w:rPr>
        <w:rFonts w:cs="Times New Roman" w:hint="default"/>
      </w:rPr>
    </w:lvl>
    <w:lvl w:ilvl="1" w:tplc="B9B6EED6" w:tentative="1">
      <w:start w:val="1"/>
      <w:numFmt w:val="lowerLetter"/>
      <w:lvlText w:val="%2."/>
      <w:lvlJc w:val="left"/>
      <w:pPr>
        <w:ind w:left="2520" w:hanging="360"/>
      </w:pPr>
    </w:lvl>
    <w:lvl w:ilvl="2" w:tplc="364A3608" w:tentative="1">
      <w:start w:val="1"/>
      <w:numFmt w:val="lowerRoman"/>
      <w:lvlText w:val="%3."/>
      <w:lvlJc w:val="right"/>
      <w:pPr>
        <w:ind w:left="3240" w:hanging="180"/>
      </w:pPr>
    </w:lvl>
    <w:lvl w:ilvl="3" w:tplc="4A8C4752" w:tentative="1">
      <w:start w:val="1"/>
      <w:numFmt w:val="decimal"/>
      <w:lvlText w:val="%4."/>
      <w:lvlJc w:val="left"/>
      <w:pPr>
        <w:ind w:left="3960" w:hanging="360"/>
      </w:pPr>
    </w:lvl>
    <w:lvl w:ilvl="4" w:tplc="643E082C" w:tentative="1">
      <w:start w:val="1"/>
      <w:numFmt w:val="lowerLetter"/>
      <w:lvlText w:val="%5."/>
      <w:lvlJc w:val="left"/>
      <w:pPr>
        <w:ind w:left="4680" w:hanging="360"/>
      </w:pPr>
    </w:lvl>
    <w:lvl w:ilvl="5" w:tplc="DA6631F2" w:tentative="1">
      <w:start w:val="1"/>
      <w:numFmt w:val="lowerRoman"/>
      <w:lvlText w:val="%6."/>
      <w:lvlJc w:val="right"/>
      <w:pPr>
        <w:ind w:left="5400" w:hanging="180"/>
      </w:pPr>
    </w:lvl>
    <w:lvl w:ilvl="6" w:tplc="8D2AF410" w:tentative="1">
      <w:start w:val="1"/>
      <w:numFmt w:val="decimal"/>
      <w:lvlText w:val="%7."/>
      <w:lvlJc w:val="left"/>
      <w:pPr>
        <w:ind w:left="6120" w:hanging="360"/>
      </w:pPr>
    </w:lvl>
    <w:lvl w:ilvl="7" w:tplc="CE0C2C02" w:tentative="1">
      <w:start w:val="1"/>
      <w:numFmt w:val="lowerLetter"/>
      <w:lvlText w:val="%8."/>
      <w:lvlJc w:val="left"/>
      <w:pPr>
        <w:ind w:left="6840" w:hanging="360"/>
      </w:pPr>
    </w:lvl>
    <w:lvl w:ilvl="8" w:tplc="B498B66C" w:tentative="1">
      <w:start w:val="1"/>
      <w:numFmt w:val="lowerRoman"/>
      <w:lvlText w:val="%9."/>
      <w:lvlJc w:val="right"/>
      <w:pPr>
        <w:ind w:left="7560" w:hanging="180"/>
      </w:pPr>
    </w:lvl>
  </w:abstractNum>
  <w:abstractNum w:abstractNumId="7" w15:restartNumberingAfterBreak="0">
    <w:nsid w:val="19B1560A"/>
    <w:multiLevelType w:val="hybridMultilevel"/>
    <w:tmpl w:val="24C8854E"/>
    <w:lvl w:ilvl="0" w:tplc="98F68BE2">
      <w:start w:val="1"/>
      <w:numFmt w:val="bullet"/>
      <w:lvlText w:val=""/>
      <w:lvlJc w:val="left"/>
      <w:pPr>
        <w:ind w:left="720" w:hanging="360"/>
      </w:pPr>
      <w:rPr>
        <w:rFonts w:ascii="Symbol" w:hAnsi="Symbol" w:hint="default"/>
      </w:rPr>
    </w:lvl>
    <w:lvl w:ilvl="1" w:tplc="F0E65E0E" w:tentative="1">
      <w:start w:val="1"/>
      <w:numFmt w:val="bullet"/>
      <w:lvlText w:val="o"/>
      <w:lvlJc w:val="left"/>
      <w:pPr>
        <w:ind w:left="1440" w:hanging="360"/>
      </w:pPr>
      <w:rPr>
        <w:rFonts w:ascii="Courier New" w:hAnsi="Courier New" w:hint="default"/>
      </w:rPr>
    </w:lvl>
    <w:lvl w:ilvl="2" w:tplc="9A982BD2" w:tentative="1">
      <w:start w:val="1"/>
      <w:numFmt w:val="bullet"/>
      <w:lvlText w:val=""/>
      <w:lvlJc w:val="left"/>
      <w:pPr>
        <w:ind w:left="2160" w:hanging="360"/>
      </w:pPr>
      <w:rPr>
        <w:rFonts w:ascii="Wingdings" w:hAnsi="Wingdings" w:hint="default"/>
      </w:rPr>
    </w:lvl>
    <w:lvl w:ilvl="3" w:tplc="6EDC5424" w:tentative="1">
      <w:start w:val="1"/>
      <w:numFmt w:val="bullet"/>
      <w:lvlText w:val=""/>
      <w:lvlJc w:val="left"/>
      <w:pPr>
        <w:ind w:left="2880" w:hanging="360"/>
      </w:pPr>
      <w:rPr>
        <w:rFonts w:ascii="Symbol" w:hAnsi="Symbol" w:hint="default"/>
      </w:rPr>
    </w:lvl>
    <w:lvl w:ilvl="4" w:tplc="3B4A1812" w:tentative="1">
      <w:start w:val="1"/>
      <w:numFmt w:val="bullet"/>
      <w:lvlText w:val="o"/>
      <w:lvlJc w:val="left"/>
      <w:pPr>
        <w:ind w:left="3600" w:hanging="360"/>
      </w:pPr>
      <w:rPr>
        <w:rFonts w:ascii="Courier New" w:hAnsi="Courier New" w:hint="default"/>
      </w:rPr>
    </w:lvl>
    <w:lvl w:ilvl="5" w:tplc="ACEC7B98" w:tentative="1">
      <w:start w:val="1"/>
      <w:numFmt w:val="bullet"/>
      <w:lvlText w:val=""/>
      <w:lvlJc w:val="left"/>
      <w:pPr>
        <w:ind w:left="4320" w:hanging="360"/>
      </w:pPr>
      <w:rPr>
        <w:rFonts w:ascii="Wingdings" w:hAnsi="Wingdings" w:hint="default"/>
      </w:rPr>
    </w:lvl>
    <w:lvl w:ilvl="6" w:tplc="19925C3A" w:tentative="1">
      <w:start w:val="1"/>
      <w:numFmt w:val="bullet"/>
      <w:lvlText w:val=""/>
      <w:lvlJc w:val="left"/>
      <w:pPr>
        <w:ind w:left="5040" w:hanging="360"/>
      </w:pPr>
      <w:rPr>
        <w:rFonts w:ascii="Symbol" w:hAnsi="Symbol" w:hint="default"/>
      </w:rPr>
    </w:lvl>
    <w:lvl w:ilvl="7" w:tplc="76A89C4C" w:tentative="1">
      <w:start w:val="1"/>
      <w:numFmt w:val="bullet"/>
      <w:lvlText w:val="o"/>
      <w:lvlJc w:val="left"/>
      <w:pPr>
        <w:ind w:left="5760" w:hanging="360"/>
      </w:pPr>
      <w:rPr>
        <w:rFonts w:ascii="Courier New" w:hAnsi="Courier New" w:hint="default"/>
      </w:rPr>
    </w:lvl>
    <w:lvl w:ilvl="8" w:tplc="996E7DEC" w:tentative="1">
      <w:start w:val="1"/>
      <w:numFmt w:val="bullet"/>
      <w:lvlText w:val=""/>
      <w:lvlJc w:val="left"/>
      <w:pPr>
        <w:ind w:left="6480" w:hanging="360"/>
      </w:pPr>
      <w:rPr>
        <w:rFonts w:ascii="Wingdings" w:hAnsi="Wingdings" w:hint="default"/>
      </w:rPr>
    </w:lvl>
  </w:abstractNum>
  <w:abstractNum w:abstractNumId="8" w15:restartNumberingAfterBreak="0">
    <w:nsid w:val="1B483D6A"/>
    <w:multiLevelType w:val="hybridMultilevel"/>
    <w:tmpl w:val="B9AED496"/>
    <w:lvl w:ilvl="0" w:tplc="C5AE56F0">
      <w:start w:val="1"/>
      <w:numFmt w:val="bullet"/>
      <w:lvlText w:val=""/>
      <w:lvlJc w:val="left"/>
      <w:pPr>
        <w:ind w:left="720" w:hanging="360"/>
      </w:pPr>
      <w:rPr>
        <w:rFonts w:ascii="Symbol" w:hAnsi="Symbol" w:hint="default"/>
      </w:rPr>
    </w:lvl>
    <w:lvl w:ilvl="1" w:tplc="CC5C79A4" w:tentative="1">
      <w:start w:val="1"/>
      <w:numFmt w:val="bullet"/>
      <w:lvlText w:val="o"/>
      <w:lvlJc w:val="left"/>
      <w:pPr>
        <w:ind w:left="1440" w:hanging="360"/>
      </w:pPr>
      <w:rPr>
        <w:rFonts w:ascii="Courier New" w:hAnsi="Courier New" w:cs="Courier New" w:hint="default"/>
      </w:rPr>
    </w:lvl>
    <w:lvl w:ilvl="2" w:tplc="0BB0B6C8" w:tentative="1">
      <w:start w:val="1"/>
      <w:numFmt w:val="bullet"/>
      <w:lvlText w:val=""/>
      <w:lvlJc w:val="left"/>
      <w:pPr>
        <w:ind w:left="2160" w:hanging="360"/>
      </w:pPr>
      <w:rPr>
        <w:rFonts w:ascii="Wingdings" w:hAnsi="Wingdings" w:hint="default"/>
      </w:rPr>
    </w:lvl>
    <w:lvl w:ilvl="3" w:tplc="BD5E38D2" w:tentative="1">
      <w:start w:val="1"/>
      <w:numFmt w:val="bullet"/>
      <w:lvlText w:val=""/>
      <w:lvlJc w:val="left"/>
      <w:pPr>
        <w:ind w:left="2880" w:hanging="360"/>
      </w:pPr>
      <w:rPr>
        <w:rFonts w:ascii="Symbol" w:hAnsi="Symbol" w:hint="default"/>
      </w:rPr>
    </w:lvl>
    <w:lvl w:ilvl="4" w:tplc="5A7E0088" w:tentative="1">
      <w:start w:val="1"/>
      <w:numFmt w:val="bullet"/>
      <w:lvlText w:val="o"/>
      <w:lvlJc w:val="left"/>
      <w:pPr>
        <w:ind w:left="3600" w:hanging="360"/>
      </w:pPr>
      <w:rPr>
        <w:rFonts w:ascii="Courier New" w:hAnsi="Courier New" w:cs="Courier New" w:hint="default"/>
      </w:rPr>
    </w:lvl>
    <w:lvl w:ilvl="5" w:tplc="AE0A3224" w:tentative="1">
      <w:start w:val="1"/>
      <w:numFmt w:val="bullet"/>
      <w:lvlText w:val=""/>
      <w:lvlJc w:val="left"/>
      <w:pPr>
        <w:ind w:left="4320" w:hanging="360"/>
      </w:pPr>
      <w:rPr>
        <w:rFonts w:ascii="Wingdings" w:hAnsi="Wingdings" w:hint="default"/>
      </w:rPr>
    </w:lvl>
    <w:lvl w:ilvl="6" w:tplc="D902B236" w:tentative="1">
      <w:start w:val="1"/>
      <w:numFmt w:val="bullet"/>
      <w:lvlText w:val=""/>
      <w:lvlJc w:val="left"/>
      <w:pPr>
        <w:ind w:left="5040" w:hanging="360"/>
      </w:pPr>
      <w:rPr>
        <w:rFonts w:ascii="Symbol" w:hAnsi="Symbol" w:hint="default"/>
      </w:rPr>
    </w:lvl>
    <w:lvl w:ilvl="7" w:tplc="31864978" w:tentative="1">
      <w:start w:val="1"/>
      <w:numFmt w:val="bullet"/>
      <w:lvlText w:val="o"/>
      <w:lvlJc w:val="left"/>
      <w:pPr>
        <w:ind w:left="5760" w:hanging="360"/>
      </w:pPr>
      <w:rPr>
        <w:rFonts w:ascii="Courier New" w:hAnsi="Courier New" w:cs="Courier New" w:hint="default"/>
      </w:rPr>
    </w:lvl>
    <w:lvl w:ilvl="8" w:tplc="D1FA238A" w:tentative="1">
      <w:start w:val="1"/>
      <w:numFmt w:val="bullet"/>
      <w:lvlText w:val=""/>
      <w:lvlJc w:val="left"/>
      <w:pPr>
        <w:ind w:left="6480" w:hanging="360"/>
      </w:pPr>
      <w:rPr>
        <w:rFonts w:ascii="Wingdings" w:hAnsi="Wingdings" w:hint="default"/>
      </w:rPr>
    </w:lvl>
  </w:abstractNum>
  <w:abstractNum w:abstractNumId="9" w15:restartNumberingAfterBreak="0">
    <w:nsid w:val="231A50B3"/>
    <w:multiLevelType w:val="hybridMultilevel"/>
    <w:tmpl w:val="2570ACBA"/>
    <w:lvl w:ilvl="0" w:tplc="045A6DEA">
      <w:start w:val="1"/>
      <w:numFmt w:val="bullet"/>
      <w:lvlText w:val=""/>
      <w:lvlJc w:val="left"/>
      <w:pPr>
        <w:tabs>
          <w:tab w:val="num" w:pos="644"/>
        </w:tabs>
        <w:ind w:left="644" w:hanging="360"/>
      </w:pPr>
      <w:rPr>
        <w:rFonts w:ascii="Symbol" w:hAnsi="Symbol" w:hint="default"/>
        <w:color w:val="auto"/>
      </w:rPr>
    </w:lvl>
    <w:lvl w:ilvl="1" w:tplc="1C14A6AC" w:tentative="1">
      <w:start w:val="1"/>
      <w:numFmt w:val="bullet"/>
      <w:lvlText w:val="o"/>
      <w:lvlJc w:val="left"/>
      <w:pPr>
        <w:tabs>
          <w:tab w:val="num" w:pos="1440"/>
        </w:tabs>
        <w:ind w:left="1440" w:hanging="360"/>
      </w:pPr>
      <w:rPr>
        <w:rFonts w:ascii="Courier New" w:hAnsi="Courier New" w:hint="default"/>
      </w:rPr>
    </w:lvl>
    <w:lvl w:ilvl="2" w:tplc="8FE613AA" w:tentative="1">
      <w:start w:val="1"/>
      <w:numFmt w:val="bullet"/>
      <w:lvlText w:val=""/>
      <w:lvlJc w:val="left"/>
      <w:pPr>
        <w:tabs>
          <w:tab w:val="num" w:pos="2160"/>
        </w:tabs>
        <w:ind w:left="2160" w:hanging="360"/>
      </w:pPr>
      <w:rPr>
        <w:rFonts w:ascii="Wingdings" w:hAnsi="Wingdings" w:hint="default"/>
      </w:rPr>
    </w:lvl>
    <w:lvl w:ilvl="3" w:tplc="B342753A" w:tentative="1">
      <w:start w:val="1"/>
      <w:numFmt w:val="bullet"/>
      <w:lvlText w:val=""/>
      <w:lvlJc w:val="left"/>
      <w:pPr>
        <w:tabs>
          <w:tab w:val="num" w:pos="2880"/>
        </w:tabs>
        <w:ind w:left="2880" w:hanging="360"/>
      </w:pPr>
      <w:rPr>
        <w:rFonts w:ascii="Symbol" w:hAnsi="Symbol" w:hint="default"/>
      </w:rPr>
    </w:lvl>
    <w:lvl w:ilvl="4" w:tplc="A986E542" w:tentative="1">
      <w:start w:val="1"/>
      <w:numFmt w:val="bullet"/>
      <w:lvlText w:val="o"/>
      <w:lvlJc w:val="left"/>
      <w:pPr>
        <w:tabs>
          <w:tab w:val="num" w:pos="3600"/>
        </w:tabs>
        <w:ind w:left="3600" w:hanging="360"/>
      </w:pPr>
      <w:rPr>
        <w:rFonts w:ascii="Courier New" w:hAnsi="Courier New" w:hint="default"/>
      </w:rPr>
    </w:lvl>
    <w:lvl w:ilvl="5" w:tplc="B16AA890" w:tentative="1">
      <w:start w:val="1"/>
      <w:numFmt w:val="bullet"/>
      <w:lvlText w:val=""/>
      <w:lvlJc w:val="left"/>
      <w:pPr>
        <w:tabs>
          <w:tab w:val="num" w:pos="4320"/>
        </w:tabs>
        <w:ind w:left="4320" w:hanging="360"/>
      </w:pPr>
      <w:rPr>
        <w:rFonts w:ascii="Wingdings" w:hAnsi="Wingdings" w:hint="default"/>
      </w:rPr>
    </w:lvl>
    <w:lvl w:ilvl="6" w:tplc="18F604B2" w:tentative="1">
      <w:start w:val="1"/>
      <w:numFmt w:val="bullet"/>
      <w:lvlText w:val=""/>
      <w:lvlJc w:val="left"/>
      <w:pPr>
        <w:tabs>
          <w:tab w:val="num" w:pos="5040"/>
        </w:tabs>
        <w:ind w:left="5040" w:hanging="360"/>
      </w:pPr>
      <w:rPr>
        <w:rFonts w:ascii="Symbol" w:hAnsi="Symbol" w:hint="default"/>
      </w:rPr>
    </w:lvl>
    <w:lvl w:ilvl="7" w:tplc="8D72BB86" w:tentative="1">
      <w:start w:val="1"/>
      <w:numFmt w:val="bullet"/>
      <w:lvlText w:val="o"/>
      <w:lvlJc w:val="left"/>
      <w:pPr>
        <w:tabs>
          <w:tab w:val="num" w:pos="5760"/>
        </w:tabs>
        <w:ind w:left="5760" w:hanging="360"/>
      </w:pPr>
      <w:rPr>
        <w:rFonts w:ascii="Courier New" w:hAnsi="Courier New" w:hint="default"/>
      </w:rPr>
    </w:lvl>
    <w:lvl w:ilvl="8" w:tplc="87321D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57940"/>
    <w:multiLevelType w:val="hybridMultilevel"/>
    <w:tmpl w:val="D6B476CA"/>
    <w:lvl w:ilvl="0" w:tplc="C71C290A">
      <w:start w:val="1"/>
      <w:numFmt w:val="bullet"/>
      <w:lvlText w:val=""/>
      <w:lvlJc w:val="left"/>
      <w:pPr>
        <w:ind w:left="720" w:hanging="360"/>
      </w:pPr>
      <w:rPr>
        <w:rFonts w:ascii="Symbol" w:hAnsi="Symbol" w:hint="default"/>
      </w:rPr>
    </w:lvl>
    <w:lvl w:ilvl="1" w:tplc="E1D2F082">
      <w:start w:val="1"/>
      <w:numFmt w:val="bullet"/>
      <w:lvlText w:val="o"/>
      <w:lvlJc w:val="left"/>
      <w:pPr>
        <w:ind w:left="1440" w:hanging="360"/>
      </w:pPr>
      <w:rPr>
        <w:rFonts w:ascii="Courier New" w:hAnsi="Courier New" w:cs="Courier New" w:hint="default"/>
      </w:rPr>
    </w:lvl>
    <w:lvl w:ilvl="2" w:tplc="440E18EC" w:tentative="1">
      <w:start w:val="1"/>
      <w:numFmt w:val="bullet"/>
      <w:lvlText w:val=""/>
      <w:lvlJc w:val="left"/>
      <w:pPr>
        <w:ind w:left="2160" w:hanging="360"/>
      </w:pPr>
      <w:rPr>
        <w:rFonts w:ascii="Wingdings" w:hAnsi="Wingdings" w:hint="default"/>
      </w:rPr>
    </w:lvl>
    <w:lvl w:ilvl="3" w:tplc="832CBD3A" w:tentative="1">
      <w:start w:val="1"/>
      <w:numFmt w:val="bullet"/>
      <w:lvlText w:val=""/>
      <w:lvlJc w:val="left"/>
      <w:pPr>
        <w:ind w:left="2880" w:hanging="360"/>
      </w:pPr>
      <w:rPr>
        <w:rFonts w:ascii="Symbol" w:hAnsi="Symbol" w:hint="default"/>
      </w:rPr>
    </w:lvl>
    <w:lvl w:ilvl="4" w:tplc="0590C50E" w:tentative="1">
      <w:start w:val="1"/>
      <w:numFmt w:val="bullet"/>
      <w:lvlText w:val="o"/>
      <w:lvlJc w:val="left"/>
      <w:pPr>
        <w:ind w:left="3600" w:hanging="360"/>
      </w:pPr>
      <w:rPr>
        <w:rFonts w:ascii="Courier New" w:hAnsi="Courier New" w:cs="Courier New" w:hint="default"/>
      </w:rPr>
    </w:lvl>
    <w:lvl w:ilvl="5" w:tplc="6616E04E" w:tentative="1">
      <w:start w:val="1"/>
      <w:numFmt w:val="bullet"/>
      <w:lvlText w:val=""/>
      <w:lvlJc w:val="left"/>
      <w:pPr>
        <w:ind w:left="4320" w:hanging="360"/>
      </w:pPr>
      <w:rPr>
        <w:rFonts w:ascii="Wingdings" w:hAnsi="Wingdings" w:hint="default"/>
      </w:rPr>
    </w:lvl>
    <w:lvl w:ilvl="6" w:tplc="C80C0C86" w:tentative="1">
      <w:start w:val="1"/>
      <w:numFmt w:val="bullet"/>
      <w:lvlText w:val=""/>
      <w:lvlJc w:val="left"/>
      <w:pPr>
        <w:ind w:left="5040" w:hanging="360"/>
      </w:pPr>
      <w:rPr>
        <w:rFonts w:ascii="Symbol" w:hAnsi="Symbol" w:hint="default"/>
      </w:rPr>
    </w:lvl>
    <w:lvl w:ilvl="7" w:tplc="D83E833E" w:tentative="1">
      <w:start w:val="1"/>
      <w:numFmt w:val="bullet"/>
      <w:lvlText w:val="o"/>
      <w:lvlJc w:val="left"/>
      <w:pPr>
        <w:ind w:left="5760" w:hanging="360"/>
      </w:pPr>
      <w:rPr>
        <w:rFonts w:ascii="Courier New" w:hAnsi="Courier New" w:cs="Courier New" w:hint="default"/>
      </w:rPr>
    </w:lvl>
    <w:lvl w:ilvl="8" w:tplc="58505720" w:tentative="1">
      <w:start w:val="1"/>
      <w:numFmt w:val="bullet"/>
      <w:lvlText w:val=""/>
      <w:lvlJc w:val="left"/>
      <w:pPr>
        <w:ind w:left="6480" w:hanging="360"/>
      </w:pPr>
      <w:rPr>
        <w:rFonts w:ascii="Wingdings" w:hAnsi="Wingdings" w:hint="default"/>
      </w:rPr>
    </w:lvl>
  </w:abstractNum>
  <w:abstractNum w:abstractNumId="11" w15:restartNumberingAfterBreak="0">
    <w:nsid w:val="30EA47A0"/>
    <w:multiLevelType w:val="multilevel"/>
    <w:tmpl w:val="15361C90"/>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32621D22"/>
    <w:multiLevelType w:val="hybridMultilevel"/>
    <w:tmpl w:val="B9407926"/>
    <w:lvl w:ilvl="0" w:tplc="74266B0E">
      <w:start w:val="1"/>
      <w:numFmt w:val="bullet"/>
      <w:lvlText w:val=""/>
      <w:lvlJc w:val="left"/>
      <w:pPr>
        <w:ind w:left="360" w:hanging="360"/>
      </w:pPr>
      <w:rPr>
        <w:rFonts w:ascii="Symbol" w:hAnsi="Symbol" w:hint="default"/>
      </w:rPr>
    </w:lvl>
    <w:lvl w:ilvl="1" w:tplc="8EE6B9D0" w:tentative="1">
      <w:start w:val="1"/>
      <w:numFmt w:val="bullet"/>
      <w:lvlText w:val="o"/>
      <w:lvlJc w:val="left"/>
      <w:pPr>
        <w:ind w:left="1080" w:hanging="360"/>
      </w:pPr>
      <w:rPr>
        <w:rFonts w:ascii="Courier New" w:hAnsi="Courier New" w:cs="Courier New" w:hint="default"/>
      </w:rPr>
    </w:lvl>
    <w:lvl w:ilvl="2" w:tplc="087E4102" w:tentative="1">
      <w:start w:val="1"/>
      <w:numFmt w:val="bullet"/>
      <w:lvlText w:val=""/>
      <w:lvlJc w:val="left"/>
      <w:pPr>
        <w:ind w:left="1800" w:hanging="360"/>
      </w:pPr>
      <w:rPr>
        <w:rFonts w:ascii="Wingdings" w:hAnsi="Wingdings" w:hint="default"/>
      </w:rPr>
    </w:lvl>
    <w:lvl w:ilvl="3" w:tplc="5AF61E6E" w:tentative="1">
      <w:start w:val="1"/>
      <w:numFmt w:val="bullet"/>
      <w:lvlText w:val=""/>
      <w:lvlJc w:val="left"/>
      <w:pPr>
        <w:ind w:left="2520" w:hanging="360"/>
      </w:pPr>
      <w:rPr>
        <w:rFonts w:ascii="Symbol" w:hAnsi="Symbol" w:hint="default"/>
      </w:rPr>
    </w:lvl>
    <w:lvl w:ilvl="4" w:tplc="CC128D82" w:tentative="1">
      <w:start w:val="1"/>
      <w:numFmt w:val="bullet"/>
      <w:lvlText w:val="o"/>
      <w:lvlJc w:val="left"/>
      <w:pPr>
        <w:ind w:left="3240" w:hanging="360"/>
      </w:pPr>
      <w:rPr>
        <w:rFonts w:ascii="Courier New" w:hAnsi="Courier New" w:cs="Courier New" w:hint="default"/>
      </w:rPr>
    </w:lvl>
    <w:lvl w:ilvl="5" w:tplc="5A30370A" w:tentative="1">
      <w:start w:val="1"/>
      <w:numFmt w:val="bullet"/>
      <w:lvlText w:val=""/>
      <w:lvlJc w:val="left"/>
      <w:pPr>
        <w:ind w:left="3960" w:hanging="360"/>
      </w:pPr>
      <w:rPr>
        <w:rFonts w:ascii="Wingdings" w:hAnsi="Wingdings" w:hint="default"/>
      </w:rPr>
    </w:lvl>
    <w:lvl w:ilvl="6" w:tplc="EC0C3E98" w:tentative="1">
      <w:start w:val="1"/>
      <w:numFmt w:val="bullet"/>
      <w:lvlText w:val=""/>
      <w:lvlJc w:val="left"/>
      <w:pPr>
        <w:ind w:left="4680" w:hanging="360"/>
      </w:pPr>
      <w:rPr>
        <w:rFonts w:ascii="Symbol" w:hAnsi="Symbol" w:hint="default"/>
      </w:rPr>
    </w:lvl>
    <w:lvl w:ilvl="7" w:tplc="9E16583C" w:tentative="1">
      <w:start w:val="1"/>
      <w:numFmt w:val="bullet"/>
      <w:lvlText w:val="o"/>
      <w:lvlJc w:val="left"/>
      <w:pPr>
        <w:ind w:left="5400" w:hanging="360"/>
      </w:pPr>
      <w:rPr>
        <w:rFonts w:ascii="Courier New" w:hAnsi="Courier New" w:cs="Courier New" w:hint="default"/>
      </w:rPr>
    </w:lvl>
    <w:lvl w:ilvl="8" w:tplc="6B96D234" w:tentative="1">
      <w:start w:val="1"/>
      <w:numFmt w:val="bullet"/>
      <w:lvlText w:val=""/>
      <w:lvlJc w:val="left"/>
      <w:pPr>
        <w:ind w:left="6120" w:hanging="360"/>
      </w:pPr>
      <w:rPr>
        <w:rFonts w:ascii="Wingdings" w:hAnsi="Wingdings" w:hint="default"/>
      </w:rPr>
    </w:lvl>
  </w:abstractNum>
  <w:abstractNum w:abstractNumId="13" w15:restartNumberingAfterBreak="0">
    <w:nsid w:val="39E724C2"/>
    <w:multiLevelType w:val="hybridMultilevel"/>
    <w:tmpl w:val="9FD2D76C"/>
    <w:lvl w:ilvl="0" w:tplc="4FCA61A0">
      <w:start w:val="1"/>
      <w:numFmt w:val="lowerLetter"/>
      <w:lvlText w:val="%1)"/>
      <w:lvlJc w:val="left"/>
      <w:pPr>
        <w:ind w:left="360" w:hanging="360"/>
      </w:pPr>
      <w:rPr>
        <w:rFonts w:cs="Times New Roman" w:hint="default"/>
      </w:rPr>
    </w:lvl>
    <w:lvl w:ilvl="1" w:tplc="99FE30F2">
      <w:start w:val="1"/>
      <w:numFmt w:val="lowerLetter"/>
      <w:lvlText w:val="(%2)"/>
      <w:lvlJc w:val="left"/>
      <w:pPr>
        <w:ind w:left="1185" w:hanging="465"/>
      </w:pPr>
      <w:rPr>
        <w:rFonts w:hint="default"/>
      </w:rPr>
    </w:lvl>
    <w:lvl w:ilvl="2" w:tplc="22624AAE" w:tentative="1">
      <w:start w:val="1"/>
      <w:numFmt w:val="lowerRoman"/>
      <w:lvlText w:val="%3."/>
      <w:lvlJc w:val="right"/>
      <w:pPr>
        <w:ind w:left="1800" w:hanging="180"/>
      </w:pPr>
      <w:rPr>
        <w:rFonts w:cs="Times New Roman"/>
      </w:rPr>
    </w:lvl>
    <w:lvl w:ilvl="3" w:tplc="7C9AAD2C" w:tentative="1">
      <w:start w:val="1"/>
      <w:numFmt w:val="decimal"/>
      <w:lvlText w:val="%4."/>
      <w:lvlJc w:val="left"/>
      <w:pPr>
        <w:ind w:left="2520" w:hanging="360"/>
      </w:pPr>
      <w:rPr>
        <w:rFonts w:cs="Times New Roman"/>
      </w:rPr>
    </w:lvl>
    <w:lvl w:ilvl="4" w:tplc="00F8801E" w:tentative="1">
      <w:start w:val="1"/>
      <w:numFmt w:val="lowerLetter"/>
      <w:lvlText w:val="%5."/>
      <w:lvlJc w:val="left"/>
      <w:pPr>
        <w:ind w:left="3240" w:hanging="360"/>
      </w:pPr>
      <w:rPr>
        <w:rFonts w:cs="Times New Roman"/>
      </w:rPr>
    </w:lvl>
    <w:lvl w:ilvl="5" w:tplc="609E171A" w:tentative="1">
      <w:start w:val="1"/>
      <w:numFmt w:val="lowerRoman"/>
      <w:lvlText w:val="%6."/>
      <w:lvlJc w:val="right"/>
      <w:pPr>
        <w:ind w:left="3960" w:hanging="180"/>
      </w:pPr>
      <w:rPr>
        <w:rFonts w:cs="Times New Roman"/>
      </w:rPr>
    </w:lvl>
    <w:lvl w:ilvl="6" w:tplc="A05C82F8" w:tentative="1">
      <w:start w:val="1"/>
      <w:numFmt w:val="decimal"/>
      <w:lvlText w:val="%7."/>
      <w:lvlJc w:val="left"/>
      <w:pPr>
        <w:ind w:left="4680" w:hanging="360"/>
      </w:pPr>
      <w:rPr>
        <w:rFonts w:cs="Times New Roman"/>
      </w:rPr>
    </w:lvl>
    <w:lvl w:ilvl="7" w:tplc="E4E6CD72" w:tentative="1">
      <w:start w:val="1"/>
      <w:numFmt w:val="lowerLetter"/>
      <w:lvlText w:val="%8."/>
      <w:lvlJc w:val="left"/>
      <w:pPr>
        <w:ind w:left="5400" w:hanging="360"/>
      </w:pPr>
      <w:rPr>
        <w:rFonts w:cs="Times New Roman"/>
      </w:rPr>
    </w:lvl>
    <w:lvl w:ilvl="8" w:tplc="0318FEBC" w:tentative="1">
      <w:start w:val="1"/>
      <w:numFmt w:val="lowerRoman"/>
      <w:lvlText w:val="%9."/>
      <w:lvlJc w:val="right"/>
      <w:pPr>
        <w:ind w:left="6120" w:hanging="180"/>
      </w:pPr>
      <w:rPr>
        <w:rFonts w:cs="Times New Roman"/>
      </w:rPr>
    </w:lvl>
  </w:abstractNum>
  <w:abstractNum w:abstractNumId="14" w15:restartNumberingAfterBreak="0">
    <w:nsid w:val="3AB73280"/>
    <w:multiLevelType w:val="hybridMultilevel"/>
    <w:tmpl w:val="9ABA5EE4"/>
    <w:lvl w:ilvl="0" w:tplc="35D8017C">
      <w:start w:val="1"/>
      <w:numFmt w:val="bullet"/>
      <w:lvlText w:val="-"/>
      <w:lvlJc w:val="left"/>
      <w:pPr>
        <w:ind w:left="1440" w:hanging="360"/>
      </w:pPr>
      <w:rPr>
        <w:rFonts w:ascii="Courier New" w:hAnsi="Courier New" w:hint="default"/>
      </w:rPr>
    </w:lvl>
    <w:lvl w:ilvl="1" w:tplc="7400C0A6" w:tentative="1">
      <w:start w:val="1"/>
      <w:numFmt w:val="bullet"/>
      <w:lvlText w:val="o"/>
      <w:lvlJc w:val="left"/>
      <w:pPr>
        <w:ind w:left="2160" w:hanging="360"/>
      </w:pPr>
      <w:rPr>
        <w:rFonts w:ascii="Courier New" w:hAnsi="Courier New" w:hint="default"/>
      </w:rPr>
    </w:lvl>
    <w:lvl w:ilvl="2" w:tplc="48E608DE" w:tentative="1">
      <w:start w:val="1"/>
      <w:numFmt w:val="bullet"/>
      <w:lvlText w:val=""/>
      <w:lvlJc w:val="left"/>
      <w:pPr>
        <w:ind w:left="2880" w:hanging="360"/>
      </w:pPr>
      <w:rPr>
        <w:rFonts w:ascii="Wingdings" w:hAnsi="Wingdings" w:hint="default"/>
      </w:rPr>
    </w:lvl>
    <w:lvl w:ilvl="3" w:tplc="8910ABD6" w:tentative="1">
      <w:start w:val="1"/>
      <w:numFmt w:val="bullet"/>
      <w:lvlText w:val=""/>
      <w:lvlJc w:val="left"/>
      <w:pPr>
        <w:ind w:left="3600" w:hanging="360"/>
      </w:pPr>
      <w:rPr>
        <w:rFonts w:ascii="Symbol" w:hAnsi="Symbol" w:hint="default"/>
      </w:rPr>
    </w:lvl>
    <w:lvl w:ilvl="4" w:tplc="AB9AE750" w:tentative="1">
      <w:start w:val="1"/>
      <w:numFmt w:val="bullet"/>
      <w:lvlText w:val="o"/>
      <w:lvlJc w:val="left"/>
      <w:pPr>
        <w:ind w:left="4320" w:hanging="360"/>
      </w:pPr>
      <w:rPr>
        <w:rFonts w:ascii="Courier New" w:hAnsi="Courier New" w:hint="default"/>
      </w:rPr>
    </w:lvl>
    <w:lvl w:ilvl="5" w:tplc="80F01ECA" w:tentative="1">
      <w:start w:val="1"/>
      <w:numFmt w:val="bullet"/>
      <w:lvlText w:val=""/>
      <w:lvlJc w:val="left"/>
      <w:pPr>
        <w:ind w:left="5040" w:hanging="360"/>
      </w:pPr>
      <w:rPr>
        <w:rFonts w:ascii="Wingdings" w:hAnsi="Wingdings" w:hint="default"/>
      </w:rPr>
    </w:lvl>
    <w:lvl w:ilvl="6" w:tplc="B21E9B86" w:tentative="1">
      <w:start w:val="1"/>
      <w:numFmt w:val="bullet"/>
      <w:lvlText w:val=""/>
      <w:lvlJc w:val="left"/>
      <w:pPr>
        <w:ind w:left="5760" w:hanging="360"/>
      </w:pPr>
      <w:rPr>
        <w:rFonts w:ascii="Symbol" w:hAnsi="Symbol" w:hint="default"/>
      </w:rPr>
    </w:lvl>
    <w:lvl w:ilvl="7" w:tplc="F05C9958" w:tentative="1">
      <w:start w:val="1"/>
      <w:numFmt w:val="bullet"/>
      <w:lvlText w:val="o"/>
      <w:lvlJc w:val="left"/>
      <w:pPr>
        <w:ind w:left="6480" w:hanging="360"/>
      </w:pPr>
      <w:rPr>
        <w:rFonts w:ascii="Courier New" w:hAnsi="Courier New" w:hint="default"/>
      </w:rPr>
    </w:lvl>
    <w:lvl w:ilvl="8" w:tplc="64B886CE" w:tentative="1">
      <w:start w:val="1"/>
      <w:numFmt w:val="bullet"/>
      <w:lvlText w:val=""/>
      <w:lvlJc w:val="left"/>
      <w:pPr>
        <w:ind w:left="7200" w:hanging="360"/>
      </w:pPr>
      <w:rPr>
        <w:rFonts w:ascii="Wingdings" w:hAnsi="Wingdings" w:hint="default"/>
      </w:rPr>
    </w:lvl>
  </w:abstractNum>
  <w:abstractNum w:abstractNumId="15" w15:restartNumberingAfterBreak="0">
    <w:nsid w:val="3AC71D95"/>
    <w:multiLevelType w:val="hybridMultilevel"/>
    <w:tmpl w:val="35F080EC"/>
    <w:lvl w:ilvl="0" w:tplc="A4FE0CF4">
      <w:start w:val="1"/>
      <w:numFmt w:val="bullet"/>
      <w:lvlText w:val=""/>
      <w:lvlJc w:val="left"/>
      <w:pPr>
        <w:ind w:left="720" w:hanging="360"/>
      </w:pPr>
      <w:rPr>
        <w:rFonts w:ascii="Symbol" w:hAnsi="Symbol" w:hint="default"/>
      </w:rPr>
    </w:lvl>
    <w:lvl w:ilvl="1" w:tplc="53DEFD00">
      <w:start w:val="1"/>
      <w:numFmt w:val="bullet"/>
      <w:lvlText w:val="o"/>
      <w:lvlJc w:val="left"/>
      <w:pPr>
        <w:ind w:left="1440" w:hanging="360"/>
      </w:pPr>
      <w:rPr>
        <w:rFonts w:ascii="Courier New" w:hAnsi="Courier New" w:cs="Courier New" w:hint="default"/>
      </w:rPr>
    </w:lvl>
    <w:lvl w:ilvl="2" w:tplc="6BEE29C0" w:tentative="1">
      <w:start w:val="1"/>
      <w:numFmt w:val="bullet"/>
      <w:lvlText w:val=""/>
      <w:lvlJc w:val="left"/>
      <w:pPr>
        <w:ind w:left="2160" w:hanging="360"/>
      </w:pPr>
      <w:rPr>
        <w:rFonts w:ascii="Wingdings" w:hAnsi="Wingdings" w:hint="default"/>
      </w:rPr>
    </w:lvl>
    <w:lvl w:ilvl="3" w:tplc="305CB06A" w:tentative="1">
      <w:start w:val="1"/>
      <w:numFmt w:val="bullet"/>
      <w:lvlText w:val=""/>
      <w:lvlJc w:val="left"/>
      <w:pPr>
        <w:ind w:left="2880" w:hanging="360"/>
      </w:pPr>
      <w:rPr>
        <w:rFonts w:ascii="Symbol" w:hAnsi="Symbol" w:hint="default"/>
      </w:rPr>
    </w:lvl>
    <w:lvl w:ilvl="4" w:tplc="5AFAB696" w:tentative="1">
      <w:start w:val="1"/>
      <w:numFmt w:val="bullet"/>
      <w:lvlText w:val="o"/>
      <w:lvlJc w:val="left"/>
      <w:pPr>
        <w:ind w:left="3600" w:hanging="360"/>
      </w:pPr>
      <w:rPr>
        <w:rFonts w:ascii="Courier New" w:hAnsi="Courier New" w:cs="Courier New" w:hint="default"/>
      </w:rPr>
    </w:lvl>
    <w:lvl w:ilvl="5" w:tplc="491E70B6" w:tentative="1">
      <w:start w:val="1"/>
      <w:numFmt w:val="bullet"/>
      <w:lvlText w:val=""/>
      <w:lvlJc w:val="left"/>
      <w:pPr>
        <w:ind w:left="4320" w:hanging="360"/>
      </w:pPr>
      <w:rPr>
        <w:rFonts w:ascii="Wingdings" w:hAnsi="Wingdings" w:hint="default"/>
      </w:rPr>
    </w:lvl>
    <w:lvl w:ilvl="6" w:tplc="507873BA" w:tentative="1">
      <w:start w:val="1"/>
      <w:numFmt w:val="bullet"/>
      <w:lvlText w:val=""/>
      <w:lvlJc w:val="left"/>
      <w:pPr>
        <w:ind w:left="5040" w:hanging="360"/>
      </w:pPr>
      <w:rPr>
        <w:rFonts w:ascii="Symbol" w:hAnsi="Symbol" w:hint="default"/>
      </w:rPr>
    </w:lvl>
    <w:lvl w:ilvl="7" w:tplc="02942FFA" w:tentative="1">
      <w:start w:val="1"/>
      <w:numFmt w:val="bullet"/>
      <w:lvlText w:val="o"/>
      <w:lvlJc w:val="left"/>
      <w:pPr>
        <w:ind w:left="5760" w:hanging="360"/>
      </w:pPr>
      <w:rPr>
        <w:rFonts w:ascii="Courier New" w:hAnsi="Courier New" w:cs="Courier New" w:hint="default"/>
      </w:rPr>
    </w:lvl>
    <w:lvl w:ilvl="8" w:tplc="1090BC4A" w:tentative="1">
      <w:start w:val="1"/>
      <w:numFmt w:val="bullet"/>
      <w:lvlText w:val=""/>
      <w:lvlJc w:val="left"/>
      <w:pPr>
        <w:ind w:left="6480" w:hanging="360"/>
      </w:pPr>
      <w:rPr>
        <w:rFonts w:ascii="Wingdings" w:hAnsi="Wingdings" w:hint="default"/>
      </w:rPr>
    </w:lvl>
  </w:abstractNum>
  <w:abstractNum w:abstractNumId="16" w15:restartNumberingAfterBreak="0">
    <w:nsid w:val="3EBC6A3C"/>
    <w:multiLevelType w:val="hybridMultilevel"/>
    <w:tmpl w:val="AF7465D0"/>
    <w:lvl w:ilvl="0" w:tplc="7CD20EAA">
      <w:start w:val="1"/>
      <w:numFmt w:val="bullet"/>
      <w:lvlText w:val=""/>
      <w:lvlJc w:val="left"/>
      <w:pPr>
        <w:ind w:left="720" w:hanging="360"/>
      </w:pPr>
      <w:rPr>
        <w:rFonts w:ascii="Symbol" w:hAnsi="Symbol" w:hint="default"/>
      </w:rPr>
    </w:lvl>
    <w:lvl w:ilvl="1" w:tplc="FD229232" w:tentative="1">
      <w:start w:val="1"/>
      <w:numFmt w:val="bullet"/>
      <w:lvlText w:val="o"/>
      <w:lvlJc w:val="left"/>
      <w:pPr>
        <w:ind w:left="1440" w:hanging="360"/>
      </w:pPr>
      <w:rPr>
        <w:rFonts w:ascii="Courier New" w:hAnsi="Courier New" w:hint="default"/>
      </w:rPr>
    </w:lvl>
    <w:lvl w:ilvl="2" w:tplc="2A068E78" w:tentative="1">
      <w:start w:val="1"/>
      <w:numFmt w:val="bullet"/>
      <w:lvlText w:val=""/>
      <w:lvlJc w:val="left"/>
      <w:pPr>
        <w:ind w:left="2160" w:hanging="360"/>
      </w:pPr>
      <w:rPr>
        <w:rFonts w:ascii="Wingdings" w:hAnsi="Wingdings" w:hint="default"/>
      </w:rPr>
    </w:lvl>
    <w:lvl w:ilvl="3" w:tplc="0ADABFBE" w:tentative="1">
      <w:start w:val="1"/>
      <w:numFmt w:val="bullet"/>
      <w:lvlText w:val=""/>
      <w:lvlJc w:val="left"/>
      <w:pPr>
        <w:ind w:left="2880" w:hanging="360"/>
      </w:pPr>
      <w:rPr>
        <w:rFonts w:ascii="Symbol" w:hAnsi="Symbol" w:hint="default"/>
      </w:rPr>
    </w:lvl>
    <w:lvl w:ilvl="4" w:tplc="797CF102" w:tentative="1">
      <w:start w:val="1"/>
      <w:numFmt w:val="bullet"/>
      <w:lvlText w:val="o"/>
      <w:lvlJc w:val="left"/>
      <w:pPr>
        <w:ind w:left="3600" w:hanging="360"/>
      </w:pPr>
      <w:rPr>
        <w:rFonts w:ascii="Courier New" w:hAnsi="Courier New" w:hint="default"/>
      </w:rPr>
    </w:lvl>
    <w:lvl w:ilvl="5" w:tplc="63E22F6E" w:tentative="1">
      <w:start w:val="1"/>
      <w:numFmt w:val="bullet"/>
      <w:lvlText w:val=""/>
      <w:lvlJc w:val="left"/>
      <w:pPr>
        <w:ind w:left="4320" w:hanging="360"/>
      </w:pPr>
      <w:rPr>
        <w:rFonts w:ascii="Wingdings" w:hAnsi="Wingdings" w:hint="default"/>
      </w:rPr>
    </w:lvl>
    <w:lvl w:ilvl="6" w:tplc="16BA66F0" w:tentative="1">
      <w:start w:val="1"/>
      <w:numFmt w:val="bullet"/>
      <w:lvlText w:val=""/>
      <w:lvlJc w:val="left"/>
      <w:pPr>
        <w:ind w:left="5040" w:hanging="360"/>
      </w:pPr>
      <w:rPr>
        <w:rFonts w:ascii="Symbol" w:hAnsi="Symbol" w:hint="default"/>
      </w:rPr>
    </w:lvl>
    <w:lvl w:ilvl="7" w:tplc="9DEAAEEE" w:tentative="1">
      <w:start w:val="1"/>
      <w:numFmt w:val="bullet"/>
      <w:lvlText w:val="o"/>
      <w:lvlJc w:val="left"/>
      <w:pPr>
        <w:ind w:left="5760" w:hanging="360"/>
      </w:pPr>
      <w:rPr>
        <w:rFonts w:ascii="Courier New" w:hAnsi="Courier New" w:hint="default"/>
      </w:rPr>
    </w:lvl>
    <w:lvl w:ilvl="8" w:tplc="945E4066" w:tentative="1">
      <w:start w:val="1"/>
      <w:numFmt w:val="bullet"/>
      <w:lvlText w:val=""/>
      <w:lvlJc w:val="left"/>
      <w:pPr>
        <w:ind w:left="6480" w:hanging="360"/>
      </w:pPr>
      <w:rPr>
        <w:rFonts w:ascii="Wingdings" w:hAnsi="Wingdings" w:hint="default"/>
      </w:rPr>
    </w:lvl>
  </w:abstractNum>
  <w:abstractNum w:abstractNumId="17" w15:restartNumberingAfterBreak="0">
    <w:nsid w:val="40CE5F6B"/>
    <w:multiLevelType w:val="hybridMultilevel"/>
    <w:tmpl w:val="0C3827D6"/>
    <w:lvl w:ilvl="0" w:tplc="4788BE94">
      <w:start w:val="1"/>
      <w:numFmt w:val="lowerLetter"/>
      <w:lvlText w:val="%1)"/>
      <w:lvlJc w:val="left"/>
      <w:pPr>
        <w:ind w:left="720" w:hanging="360"/>
      </w:pPr>
      <w:rPr>
        <w:rFonts w:cs="Times New Roman" w:hint="default"/>
      </w:rPr>
    </w:lvl>
    <w:lvl w:ilvl="1" w:tplc="CA2A53E2" w:tentative="1">
      <w:start w:val="1"/>
      <w:numFmt w:val="lowerLetter"/>
      <w:lvlText w:val="%2."/>
      <w:lvlJc w:val="left"/>
      <w:pPr>
        <w:ind w:left="1440" w:hanging="360"/>
      </w:pPr>
      <w:rPr>
        <w:rFonts w:cs="Times New Roman"/>
      </w:rPr>
    </w:lvl>
    <w:lvl w:ilvl="2" w:tplc="5EBE1C4E" w:tentative="1">
      <w:start w:val="1"/>
      <w:numFmt w:val="lowerRoman"/>
      <w:lvlText w:val="%3."/>
      <w:lvlJc w:val="right"/>
      <w:pPr>
        <w:ind w:left="2160" w:hanging="180"/>
      </w:pPr>
      <w:rPr>
        <w:rFonts w:cs="Times New Roman"/>
      </w:rPr>
    </w:lvl>
    <w:lvl w:ilvl="3" w:tplc="22769220" w:tentative="1">
      <w:start w:val="1"/>
      <w:numFmt w:val="decimal"/>
      <w:lvlText w:val="%4."/>
      <w:lvlJc w:val="left"/>
      <w:pPr>
        <w:ind w:left="2880" w:hanging="360"/>
      </w:pPr>
      <w:rPr>
        <w:rFonts w:cs="Times New Roman"/>
      </w:rPr>
    </w:lvl>
    <w:lvl w:ilvl="4" w:tplc="69C2C424" w:tentative="1">
      <w:start w:val="1"/>
      <w:numFmt w:val="lowerLetter"/>
      <w:lvlText w:val="%5."/>
      <w:lvlJc w:val="left"/>
      <w:pPr>
        <w:ind w:left="3600" w:hanging="360"/>
      </w:pPr>
      <w:rPr>
        <w:rFonts w:cs="Times New Roman"/>
      </w:rPr>
    </w:lvl>
    <w:lvl w:ilvl="5" w:tplc="0F4EA778" w:tentative="1">
      <w:start w:val="1"/>
      <w:numFmt w:val="lowerRoman"/>
      <w:lvlText w:val="%6."/>
      <w:lvlJc w:val="right"/>
      <w:pPr>
        <w:ind w:left="4320" w:hanging="180"/>
      </w:pPr>
      <w:rPr>
        <w:rFonts w:cs="Times New Roman"/>
      </w:rPr>
    </w:lvl>
    <w:lvl w:ilvl="6" w:tplc="20D02548" w:tentative="1">
      <w:start w:val="1"/>
      <w:numFmt w:val="decimal"/>
      <w:lvlText w:val="%7."/>
      <w:lvlJc w:val="left"/>
      <w:pPr>
        <w:ind w:left="5040" w:hanging="360"/>
      </w:pPr>
      <w:rPr>
        <w:rFonts w:cs="Times New Roman"/>
      </w:rPr>
    </w:lvl>
    <w:lvl w:ilvl="7" w:tplc="9FEEF9E2" w:tentative="1">
      <w:start w:val="1"/>
      <w:numFmt w:val="lowerLetter"/>
      <w:lvlText w:val="%8."/>
      <w:lvlJc w:val="left"/>
      <w:pPr>
        <w:ind w:left="5760" w:hanging="360"/>
      </w:pPr>
      <w:rPr>
        <w:rFonts w:cs="Times New Roman"/>
      </w:rPr>
    </w:lvl>
    <w:lvl w:ilvl="8" w:tplc="DBAAA73A" w:tentative="1">
      <w:start w:val="1"/>
      <w:numFmt w:val="lowerRoman"/>
      <w:lvlText w:val="%9."/>
      <w:lvlJc w:val="right"/>
      <w:pPr>
        <w:ind w:left="6480" w:hanging="180"/>
      </w:pPr>
      <w:rPr>
        <w:rFonts w:cs="Times New Roman"/>
      </w:rPr>
    </w:lvl>
  </w:abstractNum>
  <w:abstractNum w:abstractNumId="18" w15:restartNumberingAfterBreak="0">
    <w:nsid w:val="47FB296F"/>
    <w:multiLevelType w:val="hybridMultilevel"/>
    <w:tmpl w:val="A6DA90F0"/>
    <w:lvl w:ilvl="0" w:tplc="F0D0E97A">
      <w:start w:val="1"/>
      <w:numFmt w:val="bullet"/>
      <w:lvlText w:val=""/>
      <w:lvlJc w:val="left"/>
      <w:pPr>
        <w:ind w:left="720" w:hanging="360"/>
      </w:pPr>
      <w:rPr>
        <w:rFonts w:ascii="Symbol" w:hAnsi="Symbol" w:hint="default"/>
      </w:rPr>
    </w:lvl>
    <w:lvl w:ilvl="1" w:tplc="889AED7E">
      <w:start w:val="1"/>
      <w:numFmt w:val="bullet"/>
      <w:lvlText w:val="o"/>
      <w:lvlJc w:val="left"/>
      <w:pPr>
        <w:ind w:left="1440" w:hanging="360"/>
      </w:pPr>
      <w:rPr>
        <w:rFonts w:ascii="Courier New" w:hAnsi="Courier New" w:cs="Courier New" w:hint="default"/>
      </w:rPr>
    </w:lvl>
    <w:lvl w:ilvl="2" w:tplc="9D14913E" w:tentative="1">
      <w:start w:val="1"/>
      <w:numFmt w:val="bullet"/>
      <w:lvlText w:val=""/>
      <w:lvlJc w:val="left"/>
      <w:pPr>
        <w:ind w:left="2160" w:hanging="360"/>
      </w:pPr>
      <w:rPr>
        <w:rFonts w:ascii="Wingdings" w:hAnsi="Wingdings" w:hint="default"/>
      </w:rPr>
    </w:lvl>
    <w:lvl w:ilvl="3" w:tplc="94564C1E" w:tentative="1">
      <w:start w:val="1"/>
      <w:numFmt w:val="bullet"/>
      <w:lvlText w:val=""/>
      <w:lvlJc w:val="left"/>
      <w:pPr>
        <w:ind w:left="2880" w:hanging="360"/>
      </w:pPr>
      <w:rPr>
        <w:rFonts w:ascii="Symbol" w:hAnsi="Symbol" w:hint="default"/>
      </w:rPr>
    </w:lvl>
    <w:lvl w:ilvl="4" w:tplc="7DEAFA20" w:tentative="1">
      <w:start w:val="1"/>
      <w:numFmt w:val="bullet"/>
      <w:lvlText w:val="o"/>
      <w:lvlJc w:val="left"/>
      <w:pPr>
        <w:ind w:left="3600" w:hanging="360"/>
      </w:pPr>
      <w:rPr>
        <w:rFonts w:ascii="Courier New" w:hAnsi="Courier New" w:cs="Courier New" w:hint="default"/>
      </w:rPr>
    </w:lvl>
    <w:lvl w:ilvl="5" w:tplc="2640CF44" w:tentative="1">
      <w:start w:val="1"/>
      <w:numFmt w:val="bullet"/>
      <w:lvlText w:val=""/>
      <w:lvlJc w:val="left"/>
      <w:pPr>
        <w:ind w:left="4320" w:hanging="360"/>
      </w:pPr>
      <w:rPr>
        <w:rFonts w:ascii="Wingdings" w:hAnsi="Wingdings" w:hint="default"/>
      </w:rPr>
    </w:lvl>
    <w:lvl w:ilvl="6" w:tplc="03D437A0" w:tentative="1">
      <w:start w:val="1"/>
      <w:numFmt w:val="bullet"/>
      <w:lvlText w:val=""/>
      <w:lvlJc w:val="left"/>
      <w:pPr>
        <w:ind w:left="5040" w:hanging="360"/>
      </w:pPr>
      <w:rPr>
        <w:rFonts w:ascii="Symbol" w:hAnsi="Symbol" w:hint="default"/>
      </w:rPr>
    </w:lvl>
    <w:lvl w:ilvl="7" w:tplc="4ACE28B8" w:tentative="1">
      <w:start w:val="1"/>
      <w:numFmt w:val="bullet"/>
      <w:lvlText w:val="o"/>
      <w:lvlJc w:val="left"/>
      <w:pPr>
        <w:ind w:left="5760" w:hanging="360"/>
      </w:pPr>
      <w:rPr>
        <w:rFonts w:ascii="Courier New" w:hAnsi="Courier New" w:cs="Courier New" w:hint="default"/>
      </w:rPr>
    </w:lvl>
    <w:lvl w:ilvl="8" w:tplc="9C7CE9F0" w:tentative="1">
      <w:start w:val="1"/>
      <w:numFmt w:val="bullet"/>
      <w:lvlText w:val=""/>
      <w:lvlJc w:val="left"/>
      <w:pPr>
        <w:ind w:left="6480" w:hanging="360"/>
      </w:pPr>
      <w:rPr>
        <w:rFonts w:ascii="Wingdings" w:hAnsi="Wingdings" w:hint="default"/>
      </w:rPr>
    </w:lvl>
  </w:abstractNum>
  <w:abstractNum w:abstractNumId="19" w15:restartNumberingAfterBreak="0">
    <w:nsid w:val="4D5E50A4"/>
    <w:multiLevelType w:val="hybridMultilevel"/>
    <w:tmpl w:val="ECB8CEA0"/>
    <w:lvl w:ilvl="0" w:tplc="64127044">
      <w:start w:val="1"/>
      <w:numFmt w:val="bullet"/>
      <w:lvlText w:val=""/>
      <w:lvlJc w:val="left"/>
      <w:pPr>
        <w:ind w:left="948" w:hanging="360"/>
      </w:pPr>
      <w:rPr>
        <w:rFonts w:ascii="Symbol" w:hAnsi="Symbol" w:hint="default"/>
      </w:rPr>
    </w:lvl>
    <w:lvl w:ilvl="1" w:tplc="751C1868" w:tentative="1">
      <w:start w:val="1"/>
      <w:numFmt w:val="bullet"/>
      <w:lvlText w:val="o"/>
      <w:lvlJc w:val="left"/>
      <w:pPr>
        <w:ind w:left="1668" w:hanging="360"/>
      </w:pPr>
      <w:rPr>
        <w:rFonts w:ascii="Courier New" w:hAnsi="Courier New" w:cs="Courier New" w:hint="default"/>
      </w:rPr>
    </w:lvl>
    <w:lvl w:ilvl="2" w:tplc="92506BD8" w:tentative="1">
      <w:start w:val="1"/>
      <w:numFmt w:val="bullet"/>
      <w:lvlText w:val=""/>
      <w:lvlJc w:val="left"/>
      <w:pPr>
        <w:ind w:left="2388" w:hanging="360"/>
      </w:pPr>
      <w:rPr>
        <w:rFonts w:ascii="Wingdings" w:hAnsi="Wingdings" w:hint="default"/>
      </w:rPr>
    </w:lvl>
    <w:lvl w:ilvl="3" w:tplc="9BCC5B2C" w:tentative="1">
      <w:start w:val="1"/>
      <w:numFmt w:val="bullet"/>
      <w:lvlText w:val=""/>
      <w:lvlJc w:val="left"/>
      <w:pPr>
        <w:ind w:left="3108" w:hanging="360"/>
      </w:pPr>
      <w:rPr>
        <w:rFonts w:ascii="Symbol" w:hAnsi="Symbol" w:hint="default"/>
      </w:rPr>
    </w:lvl>
    <w:lvl w:ilvl="4" w:tplc="07FA81EE" w:tentative="1">
      <w:start w:val="1"/>
      <w:numFmt w:val="bullet"/>
      <w:lvlText w:val="o"/>
      <w:lvlJc w:val="left"/>
      <w:pPr>
        <w:ind w:left="3828" w:hanging="360"/>
      </w:pPr>
      <w:rPr>
        <w:rFonts w:ascii="Courier New" w:hAnsi="Courier New" w:cs="Courier New" w:hint="default"/>
      </w:rPr>
    </w:lvl>
    <w:lvl w:ilvl="5" w:tplc="EC400C74" w:tentative="1">
      <w:start w:val="1"/>
      <w:numFmt w:val="bullet"/>
      <w:lvlText w:val=""/>
      <w:lvlJc w:val="left"/>
      <w:pPr>
        <w:ind w:left="4548" w:hanging="360"/>
      </w:pPr>
      <w:rPr>
        <w:rFonts w:ascii="Wingdings" w:hAnsi="Wingdings" w:hint="default"/>
      </w:rPr>
    </w:lvl>
    <w:lvl w:ilvl="6" w:tplc="06B4856A" w:tentative="1">
      <w:start w:val="1"/>
      <w:numFmt w:val="bullet"/>
      <w:lvlText w:val=""/>
      <w:lvlJc w:val="left"/>
      <w:pPr>
        <w:ind w:left="5268" w:hanging="360"/>
      </w:pPr>
      <w:rPr>
        <w:rFonts w:ascii="Symbol" w:hAnsi="Symbol" w:hint="default"/>
      </w:rPr>
    </w:lvl>
    <w:lvl w:ilvl="7" w:tplc="B18CF398" w:tentative="1">
      <w:start w:val="1"/>
      <w:numFmt w:val="bullet"/>
      <w:lvlText w:val="o"/>
      <w:lvlJc w:val="left"/>
      <w:pPr>
        <w:ind w:left="5988" w:hanging="360"/>
      </w:pPr>
      <w:rPr>
        <w:rFonts w:ascii="Courier New" w:hAnsi="Courier New" w:cs="Courier New" w:hint="default"/>
      </w:rPr>
    </w:lvl>
    <w:lvl w:ilvl="8" w:tplc="B78605D2" w:tentative="1">
      <w:start w:val="1"/>
      <w:numFmt w:val="bullet"/>
      <w:lvlText w:val=""/>
      <w:lvlJc w:val="left"/>
      <w:pPr>
        <w:ind w:left="6708" w:hanging="360"/>
      </w:pPr>
      <w:rPr>
        <w:rFonts w:ascii="Wingdings" w:hAnsi="Wingdings" w:hint="default"/>
      </w:rPr>
    </w:lvl>
  </w:abstractNum>
  <w:abstractNum w:abstractNumId="20" w15:restartNumberingAfterBreak="0">
    <w:nsid w:val="53AA6FBD"/>
    <w:multiLevelType w:val="hybridMultilevel"/>
    <w:tmpl w:val="E75A2E94"/>
    <w:lvl w:ilvl="0" w:tplc="33FA4550">
      <w:start w:val="1"/>
      <w:numFmt w:val="bullet"/>
      <w:lvlText w:val=""/>
      <w:lvlJc w:val="left"/>
      <w:pPr>
        <w:ind w:left="360" w:hanging="360"/>
      </w:pPr>
      <w:rPr>
        <w:rFonts w:ascii="Symbol" w:hAnsi="Symbol" w:hint="default"/>
      </w:rPr>
    </w:lvl>
    <w:lvl w:ilvl="1" w:tplc="661835BA" w:tentative="1">
      <w:start w:val="1"/>
      <w:numFmt w:val="bullet"/>
      <w:lvlText w:val="o"/>
      <w:lvlJc w:val="left"/>
      <w:pPr>
        <w:ind w:left="1364" w:hanging="360"/>
      </w:pPr>
      <w:rPr>
        <w:rFonts w:ascii="Courier New" w:hAnsi="Courier New" w:hint="default"/>
      </w:rPr>
    </w:lvl>
    <w:lvl w:ilvl="2" w:tplc="AC386224" w:tentative="1">
      <w:start w:val="1"/>
      <w:numFmt w:val="bullet"/>
      <w:lvlText w:val=""/>
      <w:lvlJc w:val="left"/>
      <w:pPr>
        <w:ind w:left="2084" w:hanging="360"/>
      </w:pPr>
      <w:rPr>
        <w:rFonts w:ascii="Wingdings" w:hAnsi="Wingdings" w:hint="default"/>
      </w:rPr>
    </w:lvl>
    <w:lvl w:ilvl="3" w:tplc="5C685964" w:tentative="1">
      <w:start w:val="1"/>
      <w:numFmt w:val="bullet"/>
      <w:lvlText w:val=""/>
      <w:lvlJc w:val="left"/>
      <w:pPr>
        <w:ind w:left="2804" w:hanging="360"/>
      </w:pPr>
      <w:rPr>
        <w:rFonts w:ascii="Symbol" w:hAnsi="Symbol" w:hint="default"/>
      </w:rPr>
    </w:lvl>
    <w:lvl w:ilvl="4" w:tplc="B842594C" w:tentative="1">
      <w:start w:val="1"/>
      <w:numFmt w:val="bullet"/>
      <w:lvlText w:val="o"/>
      <w:lvlJc w:val="left"/>
      <w:pPr>
        <w:ind w:left="3524" w:hanging="360"/>
      </w:pPr>
      <w:rPr>
        <w:rFonts w:ascii="Courier New" w:hAnsi="Courier New" w:hint="default"/>
      </w:rPr>
    </w:lvl>
    <w:lvl w:ilvl="5" w:tplc="1A741608" w:tentative="1">
      <w:start w:val="1"/>
      <w:numFmt w:val="bullet"/>
      <w:lvlText w:val=""/>
      <w:lvlJc w:val="left"/>
      <w:pPr>
        <w:ind w:left="4244" w:hanging="360"/>
      </w:pPr>
      <w:rPr>
        <w:rFonts w:ascii="Wingdings" w:hAnsi="Wingdings" w:hint="default"/>
      </w:rPr>
    </w:lvl>
    <w:lvl w:ilvl="6" w:tplc="B3B4A874" w:tentative="1">
      <w:start w:val="1"/>
      <w:numFmt w:val="bullet"/>
      <w:lvlText w:val=""/>
      <w:lvlJc w:val="left"/>
      <w:pPr>
        <w:ind w:left="4964" w:hanging="360"/>
      </w:pPr>
      <w:rPr>
        <w:rFonts w:ascii="Symbol" w:hAnsi="Symbol" w:hint="default"/>
      </w:rPr>
    </w:lvl>
    <w:lvl w:ilvl="7" w:tplc="FC8AD554" w:tentative="1">
      <w:start w:val="1"/>
      <w:numFmt w:val="bullet"/>
      <w:lvlText w:val="o"/>
      <w:lvlJc w:val="left"/>
      <w:pPr>
        <w:ind w:left="5684" w:hanging="360"/>
      </w:pPr>
      <w:rPr>
        <w:rFonts w:ascii="Courier New" w:hAnsi="Courier New" w:hint="default"/>
      </w:rPr>
    </w:lvl>
    <w:lvl w:ilvl="8" w:tplc="9B50ECE6" w:tentative="1">
      <w:start w:val="1"/>
      <w:numFmt w:val="bullet"/>
      <w:lvlText w:val=""/>
      <w:lvlJc w:val="left"/>
      <w:pPr>
        <w:ind w:left="6404" w:hanging="360"/>
      </w:pPr>
      <w:rPr>
        <w:rFonts w:ascii="Wingdings" w:hAnsi="Wingdings" w:hint="default"/>
      </w:rPr>
    </w:lvl>
  </w:abstractNum>
  <w:abstractNum w:abstractNumId="21" w15:restartNumberingAfterBreak="0">
    <w:nsid w:val="53E37A36"/>
    <w:multiLevelType w:val="hybridMultilevel"/>
    <w:tmpl w:val="937A2D04"/>
    <w:lvl w:ilvl="0" w:tplc="9F24A676">
      <w:start w:val="1"/>
      <w:numFmt w:val="decimal"/>
      <w:lvlText w:val="%1."/>
      <w:lvlJc w:val="left"/>
      <w:pPr>
        <w:ind w:left="720" w:hanging="360"/>
      </w:pPr>
      <w:rPr>
        <w:rFonts w:hint="default"/>
      </w:rPr>
    </w:lvl>
    <w:lvl w:ilvl="1" w:tplc="7AEC12C2" w:tentative="1">
      <w:start w:val="1"/>
      <w:numFmt w:val="bullet"/>
      <w:lvlText w:val="o"/>
      <w:lvlJc w:val="left"/>
      <w:pPr>
        <w:ind w:left="1440" w:hanging="360"/>
      </w:pPr>
      <w:rPr>
        <w:rFonts w:ascii="Courier New" w:hAnsi="Courier New" w:hint="default"/>
      </w:rPr>
    </w:lvl>
    <w:lvl w:ilvl="2" w:tplc="EA6275F2" w:tentative="1">
      <w:start w:val="1"/>
      <w:numFmt w:val="bullet"/>
      <w:lvlText w:val=""/>
      <w:lvlJc w:val="left"/>
      <w:pPr>
        <w:ind w:left="2160" w:hanging="360"/>
      </w:pPr>
      <w:rPr>
        <w:rFonts w:ascii="Wingdings" w:hAnsi="Wingdings" w:hint="default"/>
      </w:rPr>
    </w:lvl>
    <w:lvl w:ilvl="3" w:tplc="5590C886" w:tentative="1">
      <w:start w:val="1"/>
      <w:numFmt w:val="bullet"/>
      <w:lvlText w:val=""/>
      <w:lvlJc w:val="left"/>
      <w:pPr>
        <w:ind w:left="2880" w:hanging="360"/>
      </w:pPr>
      <w:rPr>
        <w:rFonts w:ascii="Symbol" w:hAnsi="Symbol" w:hint="default"/>
      </w:rPr>
    </w:lvl>
    <w:lvl w:ilvl="4" w:tplc="4CB64A90" w:tentative="1">
      <w:start w:val="1"/>
      <w:numFmt w:val="bullet"/>
      <w:lvlText w:val="o"/>
      <w:lvlJc w:val="left"/>
      <w:pPr>
        <w:ind w:left="3600" w:hanging="360"/>
      </w:pPr>
      <w:rPr>
        <w:rFonts w:ascii="Courier New" w:hAnsi="Courier New" w:hint="default"/>
      </w:rPr>
    </w:lvl>
    <w:lvl w:ilvl="5" w:tplc="E9A4F880" w:tentative="1">
      <w:start w:val="1"/>
      <w:numFmt w:val="bullet"/>
      <w:lvlText w:val=""/>
      <w:lvlJc w:val="left"/>
      <w:pPr>
        <w:ind w:left="4320" w:hanging="360"/>
      </w:pPr>
      <w:rPr>
        <w:rFonts w:ascii="Wingdings" w:hAnsi="Wingdings" w:hint="default"/>
      </w:rPr>
    </w:lvl>
    <w:lvl w:ilvl="6" w:tplc="0D60878A" w:tentative="1">
      <w:start w:val="1"/>
      <w:numFmt w:val="bullet"/>
      <w:lvlText w:val=""/>
      <w:lvlJc w:val="left"/>
      <w:pPr>
        <w:ind w:left="5040" w:hanging="360"/>
      </w:pPr>
      <w:rPr>
        <w:rFonts w:ascii="Symbol" w:hAnsi="Symbol" w:hint="default"/>
      </w:rPr>
    </w:lvl>
    <w:lvl w:ilvl="7" w:tplc="6176517C" w:tentative="1">
      <w:start w:val="1"/>
      <w:numFmt w:val="bullet"/>
      <w:lvlText w:val="o"/>
      <w:lvlJc w:val="left"/>
      <w:pPr>
        <w:ind w:left="5760" w:hanging="360"/>
      </w:pPr>
      <w:rPr>
        <w:rFonts w:ascii="Courier New" w:hAnsi="Courier New" w:hint="default"/>
      </w:rPr>
    </w:lvl>
    <w:lvl w:ilvl="8" w:tplc="562C66E8" w:tentative="1">
      <w:start w:val="1"/>
      <w:numFmt w:val="bullet"/>
      <w:lvlText w:val=""/>
      <w:lvlJc w:val="left"/>
      <w:pPr>
        <w:ind w:left="6480" w:hanging="360"/>
      </w:pPr>
      <w:rPr>
        <w:rFonts w:ascii="Wingdings" w:hAnsi="Wingdings" w:hint="default"/>
      </w:rPr>
    </w:lvl>
  </w:abstractNum>
  <w:abstractNum w:abstractNumId="22" w15:restartNumberingAfterBreak="0">
    <w:nsid w:val="55277BC9"/>
    <w:multiLevelType w:val="hybridMultilevel"/>
    <w:tmpl w:val="26120C6C"/>
    <w:lvl w:ilvl="0" w:tplc="9D1267FC">
      <w:start w:val="1"/>
      <w:numFmt w:val="bullet"/>
      <w:lvlText w:val=""/>
      <w:lvlJc w:val="left"/>
      <w:pPr>
        <w:ind w:left="720" w:hanging="360"/>
      </w:pPr>
      <w:rPr>
        <w:rFonts w:ascii="Symbol" w:hAnsi="Symbol" w:hint="default"/>
      </w:rPr>
    </w:lvl>
    <w:lvl w:ilvl="1" w:tplc="B426BAF0" w:tentative="1">
      <w:start w:val="1"/>
      <w:numFmt w:val="bullet"/>
      <w:lvlText w:val="o"/>
      <w:lvlJc w:val="left"/>
      <w:pPr>
        <w:ind w:left="1440" w:hanging="360"/>
      </w:pPr>
      <w:rPr>
        <w:rFonts w:ascii="Courier New" w:hAnsi="Courier New" w:cs="Courier New" w:hint="default"/>
      </w:rPr>
    </w:lvl>
    <w:lvl w:ilvl="2" w:tplc="0CE8918E" w:tentative="1">
      <w:start w:val="1"/>
      <w:numFmt w:val="bullet"/>
      <w:lvlText w:val=""/>
      <w:lvlJc w:val="left"/>
      <w:pPr>
        <w:ind w:left="2160" w:hanging="360"/>
      </w:pPr>
      <w:rPr>
        <w:rFonts w:ascii="Wingdings" w:hAnsi="Wingdings" w:hint="default"/>
      </w:rPr>
    </w:lvl>
    <w:lvl w:ilvl="3" w:tplc="6F36E470" w:tentative="1">
      <w:start w:val="1"/>
      <w:numFmt w:val="bullet"/>
      <w:lvlText w:val=""/>
      <w:lvlJc w:val="left"/>
      <w:pPr>
        <w:ind w:left="2880" w:hanging="360"/>
      </w:pPr>
      <w:rPr>
        <w:rFonts w:ascii="Symbol" w:hAnsi="Symbol" w:hint="default"/>
      </w:rPr>
    </w:lvl>
    <w:lvl w:ilvl="4" w:tplc="469884A8" w:tentative="1">
      <w:start w:val="1"/>
      <w:numFmt w:val="bullet"/>
      <w:lvlText w:val="o"/>
      <w:lvlJc w:val="left"/>
      <w:pPr>
        <w:ind w:left="3600" w:hanging="360"/>
      </w:pPr>
      <w:rPr>
        <w:rFonts w:ascii="Courier New" w:hAnsi="Courier New" w:cs="Courier New" w:hint="default"/>
      </w:rPr>
    </w:lvl>
    <w:lvl w:ilvl="5" w:tplc="C9601BCC" w:tentative="1">
      <w:start w:val="1"/>
      <w:numFmt w:val="bullet"/>
      <w:lvlText w:val=""/>
      <w:lvlJc w:val="left"/>
      <w:pPr>
        <w:ind w:left="4320" w:hanging="360"/>
      </w:pPr>
      <w:rPr>
        <w:rFonts w:ascii="Wingdings" w:hAnsi="Wingdings" w:hint="default"/>
      </w:rPr>
    </w:lvl>
    <w:lvl w:ilvl="6" w:tplc="A4DC072A" w:tentative="1">
      <w:start w:val="1"/>
      <w:numFmt w:val="bullet"/>
      <w:lvlText w:val=""/>
      <w:lvlJc w:val="left"/>
      <w:pPr>
        <w:ind w:left="5040" w:hanging="360"/>
      </w:pPr>
      <w:rPr>
        <w:rFonts w:ascii="Symbol" w:hAnsi="Symbol" w:hint="default"/>
      </w:rPr>
    </w:lvl>
    <w:lvl w:ilvl="7" w:tplc="1576C722" w:tentative="1">
      <w:start w:val="1"/>
      <w:numFmt w:val="bullet"/>
      <w:lvlText w:val="o"/>
      <w:lvlJc w:val="left"/>
      <w:pPr>
        <w:ind w:left="5760" w:hanging="360"/>
      </w:pPr>
      <w:rPr>
        <w:rFonts w:ascii="Courier New" w:hAnsi="Courier New" w:cs="Courier New" w:hint="default"/>
      </w:rPr>
    </w:lvl>
    <w:lvl w:ilvl="8" w:tplc="0B8EB7B0" w:tentative="1">
      <w:start w:val="1"/>
      <w:numFmt w:val="bullet"/>
      <w:lvlText w:val=""/>
      <w:lvlJc w:val="left"/>
      <w:pPr>
        <w:ind w:left="6480" w:hanging="360"/>
      </w:pPr>
      <w:rPr>
        <w:rFonts w:ascii="Wingdings" w:hAnsi="Wingdings" w:hint="default"/>
      </w:rPr>
    </w:lvl>
  </w:abstractNum>
  <w:abstractNum w:abstractNumId="23" w15:restartNumberingAfterBreak="0">
    <w:nsid w:val="55461E04"/>
    <w:multiLevelType w:val="hybridMultilevel"/>
    <w:tmpl w:val="729896BE"/>
    <w:lvl w:ilvl="0" w:tplc="88268FB0">
      <w:start w:val="1"/>
      <w:numFmt w:val="bullet"/>
      <w:lvlText w:val=""/>
      <w:lvlJc w:val="left"/>
      <w:pPr>
        <w:ind w:left="1500" w:hanging="360"/>
      </w:pPr>
      <w:rPr>
        <w:rFonts w:ascii="Symbol" w:hAnsi="Symbol" w:hint="default"/>
      </w:rPr>
    </w:lvl>
    <w:lvl w:ilvl="1" w:tplc="D56AE2A0" w:tentative="1">
      <w:start w:val="1"/>
      <w:numFmt w:val="bullet"/>
      <w:lvlText w:val="o"/>
      <w:lvlJc w:val="left"/>
      <w:pPr>
        <w:ind w:left="2220" w:hanging="360"/>
      </w:pPr>
      <w:rPr>
        <w:rFonts w:ascii="Courier New" w:hAnsi="Courier New" w:cs="Courier New" w:hint="default"/>
      </w:rPr>
    </w:lvl>
    <w:lvl w:ilvl="2" w:tplc="9A681C40" w:tentative="1">
      <w:start w:val="1"/>
      <w:numFmt w:val="bullet"/>
      <w:lvlText w:val=""/>
      <w:lvlJc w:val="left"/>
      <w:pPr>
        <w:ind w:left="2940" w:hanging="360"/>
      </w:pPr>
      <w:rPr>
        <w:rFonts w:ascii="Wingdings" w:hAnsi="Wingdings" w:hint="default"/>
      </w:rPr>
    </w:lvl>
    <w:lvl w:ilvl="3" w:tplc="1DCC773A" w:tentative="1">
      <w:start w:val="1"/>
      <w:numFmt w:val="bullet"/>
      <w:lvlText w:val=""/>
      <w:lvlJc w:val="left"/>
      <w:pPr>
        <w:ind w:left="3660" w:hanging="360"/>
      </w:pPr>
      <w:rPr>
        <w:rFonts w:ascii="Symbol" w:hAnsi="Symbol" w:hint="default"/>
      </w:rPr>
    </w:lvl>
    <w:lvl w:ilvl="4" w:tplc="5150CEE4" w:tentative="1">
      <w:start w:val="1"/>
      <w:numFmt w:val="bullet"/>
      <w:lvlText w:val="o"/>
      <w:lvlJc w:val="left"/>
      <w:pPr>
        <w:ind w:left="4380" w:hanging="360"/>
      </w:pPr>
      <w:rPr>
        <w:rFonts w:ascii="Courier New" w:hAnsi="Courier New" w:cs="Courier New" w:hint="default"/>
      </w:rPr>
    </w:lvl>
    <w:lvl w:ilvl="5" w:tplc="993280D4" w:tentative="1">
      <w:start w:val="1"/>
      <w:numFmt w:val="bullet"/>
      <w:lvlText w:val=""/>
      <w:lvlJc w:val="left"/>
      <w:pPr>
        <w:ind w:left="5100" w:hanging="360"/>
      </w:pPr>
      <w:rPr>
        <w:rFonts w:ascii="Wingdings" w:hAnsi="Wingdings" w:hint="default"/>
      </w:rPr>
    </w:lvl>
    <w:lvl w:ilvl="6" w:tplc="C19AB3A6" w:tentative="1">
      <w:start w:val="1"/>
      <w:numFmt w:val="bullet"/>
      <w:lvlText w:val=""/>
      <w:lvlJc w:val="left"/>
      <w:pPr>
        <w:ind w:left="5820" w:hanging="360"/>
      </w:pPr>
      <w:rPr>
        <w:rFonts w:ascii="Symbol" w:hAnsi="Symbol" w:hint="default"/>
      </w:rPr>
    </w:lvl>
    <w:lvl w:ilvl="7" w:tplc="5D749DB0" w:tentative="1">
      <w:start w:val="1"/>
      <w:numFmt w:val="bullet"/>
      <w:lvlText w:val="o"/>
      <w:lvlJc w:val="left"/>
      <w:pPr>
        <w:ind w:left="6540" w:hanging="360"/>
      </w:pPr>
      <w:rPr>
        <w:rFonts w:ascii="Courier New" w:hAnsi="Courier New" w:cs="Courier New" w:hint="default"/>
      </w:rPr>
    </w:lvl>
    <w:lvl w:ilvl="8" w:tplc="F8AC79E6" w:tentative="1">
      <w:start w:val="1"/>
      <w:numFmt w:val="bullet"/>
      <w:lvlText w:val=""/>
      <w:lvlJc w:val="left"/>
      <w:pPr>
        <w:ind w:left="7260" w:hanging="360"/>
      </w:pPr>
      <w:rPr>
        <w:rFonts w:ascii="Wingdings" w:hAnsi="Wingdings" w:hint="default"/>
      </w:rPr>
    </w:lvl>
  </w:abstractNum>
  <w:abstractNum w:abstractNumId="24" w15:restartNumberingAfterBreak="0">
    <w:nsid w:val="5BCA1522"/>
    <w:multiLevelType w:val="hybridMultilevel"/>
    <w:tmpl w:val="DC262DCC"/>
    <w:lvl w:ilvl="0" w:tplc="8C285892">
      <w:start w:val="1"/>
      <w:numFmt w:val="bullet"/>
      <w:lvlText w:val=""/>
      <w:lvlJc w:val="left"/>
      <w:pPr>
        <w:ind w:left="720" w:hanging="360"/>
      </w:pPr>
      <w:rPr>
        <w:rFonts w:ascii="Symbol" w:hAnsi="Symbol" w:hint="default"/>
      </w:rPr>
    </w:lvl>
    <w:lvl w:ilvl="1" w:tplc="3A9AAC3A">
      <w:start w:val="1"/>
      <w:numFmt w:val="bullet"/>
      <w:lvlText w:val="o"/>
      <w:lvlJc w:val="left"/>
      <w:pPr>
        <w:ind w:left="1440" w:hanging="360"/>
      </w:pPr>
      <w:rPr>
        <w:rFonts w:ascii="Courier New" w:hAnsi="Courier New" w:cs="Courier New" w:hint="default"/>
      </w:rPr>
    </w:lvl>
    <w:lvl w:ilvl="2" w:tplc="DDB27F82" w:tentative="1">
      <w:start w:val="1"/>
      <w:numFmt w:val="bullet"/>
      <w:lvlText w:val=""/>
      <w:lvlJc w:val="left"/>
      <w:pPr>
        <w:ind w:left="2160" w:hanging="360"/>
      </w:pPr>
      <w:rPr>
        <w:rFonts w:ascii="Wingdings" w:hAnsi="Wingdings" w:hint="default"/>
      </w:rPr>
    </w:lvl>
    <w:lvl w:ilvl="3" w:tplc="2FF64B80" w:tentative="1">
      <w:start w:val="1"/>
      <w:numFmt w:val="bullet"/>
      <w:lvlText w:val=""/>
      <w:lvlJc w:val="left"/>
      <w:pPr>
        <w:ind w:left="2880" w:hanging="360"/>
      </w:pPr>
      <w:rPr>
        <w:rFonts w:ascii="Symbol" w:hAnsi="Symbol" w:hint="default"/>
      </w:rPr>
    </w:lvl>
    <w:lvl w:ilvl="4" w:tplc="D026C5FE" w:tentative="1">
      <w:start w:val="1"/>
      <w:numFmt w:val="bullet"/>
      <w:lvlText w:val="o"/>
      <w:lvlJc w:val="left"/>
      <w:pPr>
        <w:ind w:left="3600" w:hanging="360"/>
      </w:pPr>
      <w:rPr>
        <w:rFonts w:ascii="Courier New" w:hAnsi="Courier New" w:cs="Courier New" w:hint="default"/>
      </w:rPr>
    </w:lvl>
    <w:lvl w:ilvl="5" w:tplc="22A0D4C6" w:tentative="1">
      <w:start w:val="1"/>
      <w:numFmt w:val="bullet"/>
      <w:lvlText w:val=""/>
      <w:lvlJc w:val="left"/>
      <w:pPr>
        <w:ind w:left="4320" w:hanging="360"/>
      </w:pPr>
      <w:rPr>
        <w:rFonts w:ascii="Wingdings" w:hAnsi="Wingdings" w:hint="default"/>
      </w:rPr>
    </w:lvl>
    <w:lvl w:ilvl="6" w:tplc="64880DA2" w:tentative="1">
      <w:start w:val="1"/>
      <w:numFmt w:val="bullet"/>
      <w:lvlText w:val=""/>
      <w:lvlJc w:val="left"/>
      <w:pPr>
        <w:ind w:left="5040" w:hanging="360"/>
      </w:pPr>
      <w:rPr>
        <w:rFonts w:ascii="Symbol" w:hAnsi="Symbol" w:hint="default"/>
      </w:rPr>
    </w:lvl>
    <w:lvl w:ilvl="7" w:tplc="71B6D59E" w:tentative="1">
      <w:start w:val="1"/>
      <w:numFmt w:val="bullet"/>
      <w:lvlText w:val="o"/>
      <w:lvlJc w:val="left"/>
      <w:pPr>
        <w:ind w:left="5760" w:hanging="360"/>
      </w:pPr>
      <w:rPr>
        <w:rFonts w:ascii="Courier New" w:hAnsi="Courier New" w:cs="Courier New" w:hint="default"/>
      </w:rPr>
    </w:lvl>
    <w:lvl w:ilvl="8" w:tplc="CB34425C" w:tentative="1">
      <w:start w:val="1"/>
      <w:numFmt w:val="bullet"/>
      <w:lvlText w:val=""/>
      <w:lvlJc w:val="left"/>
      <w:pPr>
        <w:ind w:left="6480" w:hanging="360"/>
      </w:pPr>
      <w:rPr>
        <w:rFonts w:ascii="Wingdings" w:hAnsi="Wingdings" w:hint="default"/>
      </w:rPr>
    </w:lvl>
  </w:abstractNum>
  <w:abstractNum w:abstractNumId="25" w15:restartNumberingAfterBreak="0">
    <w:nsid w:val="654C5249"/>
    <w:multiLevelType w:val="hybridMultilevel"/>
    <w:tmpl w:val="56706D72"/>
    <w:lvl w:ilvl="0" w:tplc="CD780F0C">
      <w:start w:val="1"/>
      <w:numFmt w:val="bullet"/>
      <w:lvlText w:val=""/>
      <w:lvlJc w:val="left"/>
      <w:pPr>
        <w:ind w:left="789" w:hanging="360"/>
      </w:pPr>
      <w:rPr>
        <w:rFonts w:ascii="Symbol" w:hAnsi="Symbol" w:hint="default"/>
      </w:rPr>
    </w:lvl>
    <w:lvl w:ilvl="1" w:tplc="96ACC3EA" w:tentative="1">
      <w:start w:val="1"/>
      <w:numFmt w:val="bullet"/>
      <w:lvlText w:val="o"/>
      <w:lvlJc w:val="left"/>
      <w:pPr>
        <w:ind w:left="1509" w:hanging="360"/>
      </w:pPr>
      <w:rPr>
        <w:rFonts w:ascii="Courier New" w:hAnsi="Courier New" w:cs="Courier New" w:hint="default"/>
      </w:rPr>
    </w:lvl>
    <w:lvl w:ilvl="2" w:tplc="61C8C3DC" w:tentative="1">
      <w:start w:val="1"/>
      <w:numFmt w:val="bullet"/>
      <w:lvlText w:val=""/>
      <w:lvlJc w:val="left"/>
      <w:pPr>
        <w:ind w:left="2229" w:hanging="360"/>
      </w:pPr>
      <w:rPr>
        <w:rFonts w:ascii="Wingdings" w:hAnsi="Wingdings" w:hint="default"/>
      </w:rPr>
    </w:lvl>
    <w:lvl w:ilvl="3" w:tplc="4CB6612C" w:tentative="1">
      <w:start w:val="1"/>
      <w:numFmt w:val="bullet"/>
      <w:lvlText w:val=""/>
      <w:lvlJc w:val="left"/>
      <w:pPr>
        <w:ind w:left="2949" w:hanging="360"/>
      </w:pPr>
      <w:rPr>
        <w:rFonts w:ascii="Symbol" w:hAnsi="Symbol" w:hint="default"/>
      </w:rPr>
    </w:lvl>
    <w:lvl w:ilvl="4" w:tplc="4D588794" w:tentative="1">
      <w:start w:val="1"/>
      <w:numFmt w:val="bullet"/>
      <w:lvlText w:val="o"/>
      <w:lvlJc w:val="left"/>
      <w:pPr>
        <w:ind w:left="3669" w:hanging="360"/>
      </w:pPr>
      <w:rPr>
        <w:rFonts w:ascii="Courier New" w:hAnsi="Courier New" w:cs="Courier New" w:hint="default"/>
      </w:rPr>
    </w:lvl>
    <w:lvl w:ilvl="5" w:tplc="B4B2A722" w:tentative="1">
      <w:start w:val="1"/>
      <w:numFmt w:val="bullet"/>
      <w:lvlText w:val=""/>
      <w:lvlJc w:val="left"/>
      <w:pPr>
        <w:ind w:left="4389" w:hanging="360"/>
      </w:pPr>
      <w:rPr>
        <w:rFonts w:ascii="Wingdings" w:hAnsi="Wingdings" w:hint="default"/>
      </w:rPr>
    </w:lvl>
    <w:lvl w:ilvl="6" w:tplc="76063FF6" w:tentative="1">
      <w:start w:val="1"/>
      <w:numFmt w:val="bullet"/>
      <w:lvlText w:val=""/>
      <w:lvlJc w:val="left"/>
      <w:pPr>
        <w:ind w:left="5109" w:hanging="360"/>
      </w:pPr>
      <w:rPr>
        <w:rFonts w:ascii="Symbol" w:hAnsi="Symbol" w:hint="default"/>
      </w:rPr>
    </w:lvl>
    <w:lvl w:ilvl="7" w:tplc="3D6E1D5E" w:tentative="1">
      <w:start w:val="1"/>
      <w:numFmt w:val="bullet"/>
      <w:lvlText w:val="o"/>
      <w:lvlJc w:val="left"/>
      <w:pPr>
        <w:ind w:left="5829" w:hanging="360"/>
      </w:pPr>
      <w:rPr>
        <w:rFonts w:ascii="Courier New" w:hAnsi="Courier New" w:cs="Courier New" w:hint="default"/>
      </w:rPr>
    </w:lvl>
    <w:lvl w:ilvl="8" w:tplc="FDF6901E" w:tentative="1">
      <w:start w:val="1"/>
      <w:numFmt w:val="bullet"/>
      <w:lvlText w:val=""/>
      <w:lvlJc w:val="left"/>
      <w:pPr>
        <w:ind w:left="6549" w:hanging="360"/>
      </w:pPr>
      <w:rPr>
        <w:rFonts w:ascii="Wingdings" w:hAnsi="Wingdings" w:hint="default"/>
      </w:rPr>
    </w:lvl>
  </w:abstractNum>
  <w:abstractNum w:abstractNumId="26" w15:restartNumberingAfterBreak="0">
    <w:nsid w:val="65AD77D4"/>
    <w:multiLevelType w:val="multilevel"/>
    <w:tmpl w:val="A67453AE"/>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7" w15:restartNumberingAfterBreak="0">
    <w:nsid w:val="7BBD556D"/>
    <w:multiLevelType w:val="hybridMultilevel"/>
    <w:tmpl w:val="229CFC28"/>
    <w:lvl w:ilvl="0" w:tplc="2DC8BC36">
      <w:start w:val="1"/>
      <w:numFmt w:val="lowerRoman"/>
      <w:lvlText w:val="(%1)"/>
      <w:lvlJc w:val="right"/>
      <w:pPr>
        <w:ind w:left="1800" w:hanging="360"/>
      </w:pPr>
      <w:rPr>
        <w:rFonts w:hint="default"/>
      </w:rPr>
    </w:lvl>
    <w:lvl w:ilvl="1" w:tplc="098CB09E" w:tentative="1">
      <w:start w:val="1"/>
      <w:numFmt w:val="lowerLetter"/>
      <w:lvlText w:val="%2."/>
      <w:lvlJc w:val="left"/>
      <w:pPr>
        <w:ind w:left="2520" w:hanging="360"/>
      </w:pPr>
    </w:lvl>
    <w:lvl w:ilvl="2" w:tplc="21DA1DC6" w:tentative="1">
      <w:start w:val="1"/>
      <w:numFmt w:val="lowerRoman"/>
      <w:lvlText w:val="%3."/>
      <w:lvlJc w:val="right"/>
      <w:pPr>
        <w:ind w:left="3240" w:hanging="180"/>
      </w:pPr>
    </w:lvl>
    <w:lvl w:ilvl="3" w:tplc="95708EC8" w:tentative="1">
      <w:start w:val="1"/>
      <w:numFmt w:val="decimal"/>
      <w:lvlText w:val="%4."/>
      <w:lvlJc w:val="left"/>
      <w:pPr>
        <w:ind w:left="3960" w:hanging="360"/>
      </w:pPr>
    </w:lvl>
    <w:lvl w:ilvl="4" w:tplc="3AC6402C" w:tentative="1">
      <w:start w:val="1"/>
      <w:numFmt w:val="lowerLetter"/>
      <w:lvlText w:val="%5."/>
      <w:lvlJc w:val="left"/>
      <w:pPr>
        <w:ind w:left="4680" w:hanging="360"/>
      </w:pPr>
    </w:lvl>
    <w:lvl w:ilvl="5" w:tplc="5258587E" w:tentative="1">
      <w:start w:val="1"/>
      <w:numFmt w:val="lowerRoman"/>
      <w:lvlText w:val="%6."/>
      <w:lvlJc w:val="right"/>
      <w:pPr>
        <w:ind w:left="5400" w:hanging="180"/>
      </w:pPr>
    </w:lvl>
    <w:lvl w:ilvl="6" w:tplc="742C2FFC" w:tentative="1">
      <w:start w:val="1"/>
      <w:numFmt w:val="decimal"/>
      <w:lvlText w:val="%7."/>
      <w:lvlJc w:val="left"/>
      <w:pPr>
        <w:ind w:left="6120" w:hanging="360"/>
      </w:pPr>
    </w:lvl>
    <w:lvl w:ilvl="7" w:tplc="212CF85C" w:tentative="1">
      <w:start w:val="1"/>
      <w:numFmt w:val="lowerLetter"/>
      <w:lvlText w:val="%8."/>
      <w:lvlJc w:val="left"/>
      <w:pPr>
        <w:ind w:left="6840" w:hanging="360"/>
      </w:pPr>
    </w:lvl>
    <w:lvl w:ilvl="8" w:tplc="8CDEA99E" w:tentative="1">
      <w:start w:val="1"/>
      <w:numFmt w:val="lowerRoman"/>
      <w:lvlText w:val="%9."/>
      <w:lvlJc w:val="right"/>
      <w:pPr>
        <w:ind w:left="7560" w:hanging="180"/>
      </w:pPr>
    </w:lvl>
  </w:abstractNum>
  <w:abstractNum w:abstractNumId="28" w15:restartNumberingAfterBreak="0">
    <w:nsid w:val="7EA30EFE"/>
    <w:multiLevelType w:val="hybridMultilevel"/>
    <w:tmpl w:val="A80C8966"/>
    <w:lvl w:ilvl="0" w:tplc="FAF636FA">
      <w:start w:val="1"/>
      <w:numFmt w:val="bullet"/>
      <w:lvlText w:val=""/>
      <w:lvlJc w:val="left"/>
      <w:pPr>
        <w:ind w:left="360" w:hanging="360"/>
      </w:pPr>
      <w:rPr>
        <w:rFonts w:ascii="Symbol" w:hAnsi="Symbol" w:hint="default"/>
      </w:rPr>
    </w:lvl>
    <w:lvl w:ilvl="1" w:tplc="8548C3A6" w:tentative="1">
      <w:start w:val="1"/>
      <w:numFmt w:val="lowerLetter"/>
      <w:lvlText w:val="%2."/>
      <w:lvlJc w:val="left"/>
      <w:pPr>
        <w:ind w:left="1080" w:hanging="360"/>
      </w:pPr>
      <w:rPr>
        <w:rFonts w:cs="Times New Roman"/>
      </w:rPr>
    </w:lvl>
    <w:lvl w:ilvl="2" w:tplc="2EF60238" w:tentative="1">
      <w:start w:val="1"/>
      <w:numFmt w:val="lowerRoman"/>
      <w:lvlText w:val="%3."/>
      <w:lvlJc w:val="right"/>
      <w:pPr>
        <w:ind w:left="1800" w:hanging="180"/>
      </w:pPr>
      <w:rPr>
        <w:rFonts w:cs="Times New Roman"/>
      </w:rPr>
    </w:lvl>
    <w:lvl w:ilvl="3" w:tplc="685AC09A" w:tentative="1">
      <w:start w:val="1"/>
      <w:numFmt w:val="decimal"/>
      <w:lvlText w:val="%4."/>
      <w:lvlJc w:val="left"/>
      <w:pPr>
        <w:ind w:left="2520" w:hanging="360"/>
      </w:pPr>
      <w:rPr>
        <w:rFonts w:cs="Times New Roman"/>
      </w:rPr>
    </w:lvl>
    <w:lvl w:ilvl="4" w:tplc="8CF4F4CE" w:tentative="1">
      <w:start w:val="1"/>
      <w:numFmt w:val="lowerLetter"/>
      <w:lvlText w:val="%5."/>
      <w:lvlJc w:val="left"/>
      <w:pPr>
        <w:ind w:left="3240" w:hanging="360"/>
      </w:pPr>
      <w:rPr>
        <w:rFonts w:cs="Times New Roman"/>
      </w:rPr>
    </w:lvl>
    <w:lvl w:ilvl="5" w:tplc="2FFE7C44" w:tentative="1">
      <w:start w:val="1"/>
      <w:numFmt w:val="lowerRoman"/>
      <w:lvlText w:val="%6."/>
      <w:lvlJc w:val="right"/>
      <w:pPr>
        <w:ind w:left="3960" w:hanging="180"/>
      </w:pPr>
      <w:rPr>
        <w:rFonts w:cs="Times New Roman"/>
      </w:rPr>
    </w:lvl>
    <w:lvl w:ilvl="6" w:tplc="B6BE09B0" w:tentative="1">
      <w:start w:val="1"/>
      <w:numFmt w:val="decimal"/>
      <w:lvlText w:val="%7."/>
      <w:lvlJc w:val="left"/>
      <w:pPr>
        <w:ind w:left="4680" w:hanging="360"/>
      </w:pPr>
      <w:rPr>
        <w:rFonts w:cs="Times New Roman"/>
      </w:rPr>
    </w:lvl>
    <w:lvl w:ilvl="7" w:tplc="0A9EA268" w:tentative="1">
      <w:start w:val="1"/>
      <w:numFmt w:val="lowerLetter"/>
      <w:lvlText w:val="%8."/>
      <w:lvlJc w:val="left"/>
      <w:pPr>
        <w:ind w:left="5400" w:hanging="360"/>
      </w:pPr>
      <w:rPr>
        <w:rFonts w:cs="Times New Roman"/>
      </w:rPr>
    </w:lvl>
    <w:lvl w:ilvl="8" w:tplc="F498FA44" w:tentative="1">
      <w:start w:val="1"/>
      <w:numFmt w:val="lowerRoman"/>
      <w:lvlText w:val="%9."/>
      <w:lvlJc w:val="right"/>
      <w:pPr>
        <w:ind w:left="6120" w:hanging="180"/>
      </w:pPr>
      <w:rPr>
        <w:rFonts w:cs="Times New Roman"/>
      </w:rPr>
    </w:lvl>
  </w:abstractNum>
  <w:num w:numId="1">
    <w:abstractNumId w:val="11"/>
  </w:num>
  <w:num w:numId="2">
    <w:abstractNumId w:val="4"/>
  </w:num>
  <w:num w:numId="3">
    <w:abstractNumId w:val="7"/>
  </w:num>
  <w:num w:numId="4">
    <w:abstractNumId w:val="17"/>
  </w:num>
  <w:num w:numId="5">
    <w:abstractNumId w:val="13"/>
  </w:num>
  <w:num w:numId="6">
    <w:abstractNumId w:val="1"/>
  </w:num>
  <w:num w:numId="7">
    <w:abstractNumId w:val="20"/>
  </w:num>
  <w:num w:numId="8">
    <w:abstractNumId w:val="9"/>
  </w:num>
  <w:num w:numId="9">
    <w:abstractNumId w:val="5"/>
  </w:num>
  <w:num w:numId="10">
    <w:abstractNumId w:val="14"/>
  </w:num>
  <w:num w:numId="11">
    <w:abstractNumId w:val="26"/>
  </w:num>
  <w:num w:numId="12">
    <w:abstractNumId w:val="23"/>
  </w:num>
  <w:num w:numId="13">
    <w:abstractNumId w:val="3"/>
  </w:num>
  <w:num w:numId="14">
    <w:abstractNumId w:val="21"/>
  </w:num>
  <w:num w:numId="15">
    <w:abstractNumId w:val="19"/>
  </w:num>
  <w:num w:numId="16">
    <w:abstractNumId w:val="27"/>
  </w:num>
  <w:num w:numId="17">
    <w:abstractNumId w:val="22"/>
  </w:num>
  <w:num w:numId="18">
    <w:abstractNumId w:val="0"/>
  </w:num>
  <w:num w:numId="19">
    <w:abstractNumId w:val="2"/>
  </w:num>
  <w:num w:numId="20">
    <w:abstractNumId w:val="24"/>
  </w:num>
  <w:num w:numId="21">
    <w:abstractNumId w:val="15"/>
  </w:num>
  <w:num w:numId="22">
    <w:abstractNumId w:val="10"/>
  </w:num>
  <w:num w:numId="23">
    <w:abstractNumId w:val="18"/>
  </w:num>
  <w:num w:numId="24">
    <w:abstractNumId w:val="6"/>
  </w:num>
  <w:num w:numId="25">
    <w:abstractNumId w:val="16"/>
  </w:num>
  <w:num w:numId="26">
    <w:abstractNumId w:val="25"/>
  </w:num>
  <w:num w:numId="27">
    <w:abstractNumId w:val="8"/>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56"/>
    <w:rsid w:val="00002866"/>
    <w:rsid w:val="00003091"/>
    <w:rsid w:val="0001009A"/>
    <w:rsid w:val="000150A9"/>
    <w:rsid w:val="00044115"/>
    <w:rsid w:val="0006757F"/>
    <w:rsid w:val="00087620"/>
    <w:rsid w:val="000A6D8D"/>
    <w:rsid w:val="000E126E"/>
    <w:rsid w:val="00104A23"/>
    <w:rsid w:val="00116B1B"/>
    <w:rsid w:val="001274EB"/>
    <w:rsid w:val="00134FF7"/>
    <w:rsid w:val="001500B9"/>
    <w:rsid w:val="00173F2B"/>
    <w:rsid w:val="00177EA0"/>
    <w:rsid w:val="001A6588"/>
    <w:rsid w:val="001B6908"/>
    <w:rsid w:val="001C74FE"/>
    <w:rsid w:val="001F5ADC"/>
    <w:rsid w:val="00212CB5"/>
    <w:rsid w:val="0023417A"/>
    <w:rsid w:val="0023417D"/>
    <w:rsid w:val="002441BF"/>
    <w:rsid w:val="002475DB"/>
    <w:rsid w:val="00261E87"/>
    <w:rsid w:val="002711C0"/>
    <w:rsid w:val="00276040"/>
    <w:rsid w:val="002775BE"/>
    <w:rsid w:val="00277C2C"/>
    <w:rsid w:val="003021E4"/>
    <w:rsid w:val="003246C9"/>
    <w:rsid w:val="003349CE"/>
    <w:rsid w:val="00342DE0"/>
    <w:rsid w:val="0035015D"/>
    <w:rsid w:val="00354B3D"/>
    <w:rsid w:val="00361598"/>
    <w:rsid w:val="003920B6"/>
    <w:rsid w:val="003B6E80"/>
    <w:rsid w:val="003D4BD6"/>
    <w:rsid w:val="003E157E"/>
    <w:rsid w:val="003E1C6A"/>
    <w:rsid w:val="00420162"/>
    <w:rsid w:val="00421CEC"/>
    <w:rsid w:val="00446524"/>
    <w:rsid w:val="00483A66"/>
    <w:rsid w:val="0049418B"/>
    <w:rsid w:val="004D2AF1"/>
    <w:rsid w:val="004F4E88"/>
    <w:rsid w:val="0050205A"/>
    <w:rsid w:val="005021C1"/>
    <w:rsid w:val="00530EF6"/>
    <w:rsid w:val="00576C77"/>
    <w:rsid w:val="005B23AB"/>
    <w:rsid w:val="005B3783"/>
    <w:rsid w:val="005E505B"/>
    <w:rsid w:val="005F270B"/>
    <w:rsid w:val="005F6A45"/>
    <w:rsid w:val="006304ED"/>
    <w:rsid w:val="006330B4"/>
    <w:rsid w:val="0064760B"/>
    <w:rsid w:val="0065583B"/>
    <w:rsid w:val="006618B5"/>
    <w:rsid w:val="00664931"/>
    <w:rsid w:val="006703BE"/>
    <w:rsid w:val="006737C1"/>
    <w:rsid w:val="006750A3"/>
    <w:rsid w:val="00675904"/>
    <w:rsid w:val="006773F7"/>
    <w:rsid w:val="00683AA1"/>
    <w:rsid w:val="0068573C"/>
    <w:rsid w:val="006928A6"/>
    <w:rsid w:val="006A0721"/>
    <w:rsid w:val="006A5940"/>
    <w:rsid w:val="006A6B4D"/>
    <w:rsid w:val="006B337B"/>
    <w:rsid w:val="006B77F3"/>
    <w:rsid w:val="006D1274"/>
    <w:rsid w:val="006D6C02"/>
    <w:rsid w:val="006D78D7"/>
    <w:rsid w:val="006D7A40"/>
    <w:rsid w:val="006E3007"/>
    <w:rsid w:val="006E3845"/>
    <w:rsid w:val="006F0FCE"/>
    <w:rsid w:val="00707E3B"/>
    <w:rsid w:val="00710E23"/>
    <w:rsid w:val="007152B7"/>
    <w:rsid w:val="00717E3A"/>
    <w:rsid w:val="0072418A"/>
    <w:rsid w:val="00735451"/>
    <w:rsid w:val="00741F0E"/>
    <w:rsid w:val="00764663"/>
    <w:rsid w:val="00770EED"/>
    <w:rsid w:val="0078712C"/>
    <w:rsid w:val="00790DCA"/>
    <w:rsid w:val="007A63A0"/>
    <w:rsid w:val="007D132F"/>
    <w:rsid w:val="007D3B31"/>
    <w:rsid w:val="007D78FF"/>
    <w:rsid w:val="007E0CB6"/>
    <w:rsid w:val="007F2E26"/>
    <w:rsid w:val="007F7392"/>
    <w:rsid w:val="00812220"/>
    <w:rsid w:val="00823B31"/>
    <w:rsid w:val="00834117"/>
    <w:rsid w:val="00850CF7"/>
    <w:rsid w:val="008A2F12"/>
    <w:rsid w:val="008C21E6"/>
    <w:rsid w:val="0090780C"/>
    <w:rsid w:val="009108E6"/>
    <w:rsid w:val="00912D6E"/>
    <w:rsid w:val="00937FCD"/>
    <w:rsid w:val="00947062"/>
    <w:rsid w:val="009664B6"/>
    <w:rsid w:val="0097530F"/>
    <w:rsid w:val="00980ABE"/>
    <w:rsid w:val="009B0C3B"/>
    <w:rsid w:val="009C0FE9"/>
    <w:rsid w:val="009D2E3A"/>
    <w:rsid w:val="009E4342"/>
    <w:rsid w:val="009E4DAC"/>
    <w:rsid w:val="009F6C5A"/>
    <w:rsid w:val="00A85D41"/>
    <w:rsid w:val="00A96B01"/>
    <w:rsid w:val="00AB6E46"/>
    <w:rsid w:val="00AD4240"/>
    <w:rsid w:val="00B10382"/>
    <w:rsid w:val="00B27C3E"/>
    <w:rsid w:val="00B35111"/>
    <w:rsid w:val="00B45251"/>
    <w:rsid w:val="00B47EDC"/>
    <w:rsid w:val="00B51BEF"/>
    <w:rsid w:val="00BC1B7A"/>
    <w:rsid w:val="00BC5B1D"/>
    <w:rsid w:val="00BE7266"/>
    <w:rsid w:val="00C05B99"/>
    <w:rsid w:val="00C07DEC"/>
    <w:rsid w:val="00C17149"/>
    <w:rsid w:val="00C248F1"/>
    <w:rsid w:val="00C2537B"/>
    <w:rsid w:val="00C26C99"/>
    <w:rsid w:val="00C302E5"/>
    <w:rsid w:val="00C4654D"/>
    <w:rsid w:val="00C742C9"/>
    <w:rsid w:val="00C75E5E"/>
    <w:rsid w:val="00CC32C7"/>
    <w:rsid w:val="00CC531B"/>
    <w:rsid w:val="00CF7F22"/>
    <w:rsid w:val="00D006D1"/>
    <w:rsid w:val="00D10D82"/>
    <w:rsid w:val="00D5654F"/>
    <w:rsid w:val="00DB75B2"/>
    <w:rsid w:val="00DD5928"/>
    <w:rsid w:val="00DD6EC6"/>
    <w:rsid w:val="00DE69C4"/>
    <w:rsid w:val="00DF27FD"/>
    <w:rsid w:val="00E06456"/>
    <w:rsid w:val="00E06F57"/>
    <w:rsid w:val="00E26A6F"/>
    <w:rsid w:val="00E37208"/>
    <w:rsid w:val="00E479B9"/>
    <w:rsid w:val="00E62AC2"/>
    <w:rsid w:val="00E85844"/>
    <w:rsid w:val="00E96147"/>
    <w:rsid w:val="00E96927"/>
    <w:rsid w:val="00EA5480"/>
    <w:rsid w:val="00EB152E"/>
    <w:rsid w:val="00EE2DF3"/>
    <w:rsid w:val="00F209E9"/>
    <w:rsid w:val="00F3228F"/>
    <w:rsid w:val="00F36A2B"/>
    <w:rsid w:val="00F5170B"/>
    <w:rsid w:val="00F716BA"/>
    <w:rsid w:val="00F81FB6"/>
    <w:rsid w:val="00F9443D"/>
    <w:rsid w:val="00F94D87"/>
    <w:rsid w:val="00FA663D"/>
    <w:rsid w:val="00FD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B63E3"/>
  <w15:docId w15:val="{7C7099C6-412C-44D4-9010-5DA8602D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A2F"/>
    <w:pPr>
      <w:spacing w:after="0" w:line="240" w:lineRule="auto"/>
    </w:pPr>
    <w:rPr>
      <w:rFonts w:ascii="Arial" w:hAnsi="Arial" w:cs="Arial"/>
      <w:sz w:val="24"/>
      <w:szCs w:val="24"/>
      <w:lang w:eastAsia="en-GB"/>
    </w:rPr>
  </w:style>
  <w:style w:type="paragraph" w:styleId="Heading2">
    <w:name w:val="heading 2"/>
    <w:basedOn w:val="Normal"/>
    <w:next w:val="Normal"/>
    <w:link w:val="Heading2Char"/>
    <w:uiPriority w:val="99"/>
    <w:qFormat/>
    <w:rsid w:val="0040630B"/>
    <w:pPr>
      <w:keepNext/>
      <w:jc w:val="center"/>
      <w:outlineLvl w:val="1"/>
    </w:pPr>
    <w:rPr>
      <w:b/>
      <w:bCs/>
      <w:sz w:val="18"/>
      <w:szCs w:val="18"/>
    </w:rPr>
  </w:style>
  <w:style w:type="paragraph" w:styleId="Heading3">
    <w:name w:val="heading 3"/>
    <w:basedOn w:val="Normal"/>
    <w:next w:val="Normal"/>
    <w:link w:val="Heading3Char"/>
    <w:uiPriority w:val="99"/>
    <w:qFormat/>
    <w:rsid w:val="0040630B"/>
    <w:pPr>
      <w:keepNext/>
      <w:spacing w:before="240" w:after="60"/>
      <w:outlineLvl w:val="2"/>
    </w:pPr>
    <w:rPr>
      <w:b/>
      <w:bCs/>
      <w:sz w:val="26"/>
      <w:szCs w:val="26"/>
    </w:rPr>
  </w:style>
  <w:style w:type="paragraph" w:styleId="Heading4">
    <w:name w:val="heading 4"/>
    <w:basedOn w:val="Normal"/>
    <w:next w:val="Normal"/>
    <w:link w:val="Heading4Char"/>
    <w:uiPriority w:val="99"/>
    <w:qFormat/>
    <w:rsid w:val="0040630B"/>
    <w:pPr>
      <w:keepNext/>
      <w:jc w:val="right"/>
      <w:outlineLvl w:val="3"/>
    </w:pPr>
    <w:rPr>
      <w:b/>
      <w:bCs/>
    </w:rPr>
  </w:style>
  <w:style w:type="paragraph" w:styleId="Heading5">
    <w:name w:val="heading 5"/>
    <w:basedOn w:val="Normal"/>
    <w:next w:val="Normal"/>
    <w:link w:val="Heading5Char"/>
    <w:uiPriority w:val="99"/>
    <w:qFormat/>
    <w:rsid w:val="0040630B"/>
    <w:pPr>
      <w:keepNext/>
      <w:outlineLvl w:val="4"/>
    </w:pPr>
    <w:rPr>
      <w:rFonts w:ascii="Univers" w:hAnsi="Univers" w:cs="Univers"/>
      <w:b/>
      <w:bCs/>
      <w:u w:val="single"/>
    </w:rPr>
  </w:style>
  <w:style w:type="paragraph" w:styleId="Heading6">
    <w:name w:val="heading 6"/>
    <w:basedOn w:val="Normal"/>
    <w:next w:val="Normal"/>
    <w:link w:val="Heading6Char"/>
    <w:uiPriority w:val="99"/>
    <w:qFormat/>
    <w:rsid w:val="0040630B"/>
    <w:pPr>
      <w:keepNext/>
      <w:outlineLvl w:val="5"/>
    </w:pPr>
    <w:rPr>
      <w:rFonts w:ascii="Univers" w:hAnsi="Univers" w:cs="Univers"/>
      <w:b/>
      <w:bCs/>
    </w:rPr>
  </w:style>
  <w:style w:type="paragraph" w:styleId="Heading7">
    <w:name w:val="heading 7"/>
    <w:basedOn w:val="Normal"/>
    <w:next w:val="Normal"/>
    <w:link w:val="Heading7Char"/>
    <w:uiPriority w:val="99"/>
    <w:qFormat/>
    <w:rsid w:val="0040630B"/>
    <w:pPr>
      <w:keepNext/>
      <w:outlineLvl w:val="6"/>
    </w:pPr>
    <w:rPr>
      <w:rFonts w:ascii="Univers" w:hAnsi="Univers" w:cs="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30B"/>
    <w:rPr>
      <w:rFonts w:ascii="Arial" w:hAnsi="Arial" w:cs="Arial"/>
      <w:b/>
      <w:bCs/>
      <w:sz w:val="18"/>
      <w:szCs w:val="18"/>
      <w:lang w:eastAsia="en-GB"/>
    </w:rPr>
  </w:style>
  <w:style w:type="character" w:customStyle="1" w:styleId="Heading3Char">
    <w:name w:val="Heading 3 Char"/>
    <w:basedOn w:val="DefaultParagraphFont"/>
    <w:link w:val="Heading3"/>
    <w:uiPriority w:val="99"/>
    <w:locked/>
    <w:rsid w:val="0040630B"/>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40630B"/>
    <w:rPr>
      <w:rFonts w:ascii="Arial" w:hAnsi="Arial" w:cs="Arial"/>
      <w:b/>
      <w:bCs/>
      <w:sz w:val="24"/>
      <w:szCs w:val="24"/>
      <w:lang w:eastAsia="en-GB"/>
    </w:rPr>
  </w:style>
  <w:style w:type="character" w:customStyle="1" w:styleId="Heading5Char">
    <w:name w:val="Heading 5 Char"/>
    <w:basedOn w:val="DefaultParagraphFont"/>
    <w:link w:val="Heading5"/>
    <w:uiPriority w:val="99"/>
    <w:locked/>
    <w:rsid w:val="0040630B"/>
    <w:rPr>
      <w:rFonts w:ascii="Univers" w:hAnsi="Univers" w:cs="Univers"/>
      <w:b/>
      <w:bCs/>
      <w:sz w:val="24"/>
      <w:szCs w:val="24"/>
      <w:u w:val="single"/>
      <w:lang w:eastAsia="en-GB"/>
    </w:rPr>
  </w:style>
  <w:style w:type="character" w:customStyle="1" w:styleId="Heading6Char">
    <w:name w:val="Heading 6 Char"/>
    <w:basedOn w:val="DefaultParagraphFont"/>
    <w:link w:val="Heading6"/>
    <w:uiPriority w:val="99"/>
    <w:locked/>
    <w:rsid w:val="0040630B"/>
    <w:rPr>
      <w:rFonts w:ascii="Univers" w:hAnsi="Univers" w:cs="Univers"/>
      <w:b/>
      <w:bCs/>
      <w:sz w:val="24"/>
      <w:szCs w:val="24"/>
      <w:lang w:eastAsia="en-GB"/>
    </w:rPr>
  </w:style>
  <w:style w:type="character" w:customStyle="1" w:styleId="Heading7Char">
    <w:name w:val="Heading 7 Char"/>
    <w:basedOn w:val="DefaultParagraphFont"/>
    <w:link w:val="Heading7"/>
    <w:uiPriority w:val="99"/>
    <w:locked/>
    <w:rsid w:val="0040630B"/>
    <w:rPr>
      <w:rFonts w:ascii="Univers" w:hAnsi="Univers" w:cs="Univers"/>
      <w:sz w:val="24"/>
      <w:szCs w:val="24"/>
      <w:u w:val="single"/>
      <w:lang w:eastAsia="en-GB"/>
    </w:rPr>
  </w:style>
  <w:style w:type="paragraph" w:styleId="Header">
    <w:name w:val="header"/>
    <w:basedOn w:val="Normal"/>
    <w:link w:val="HeaderChar"/>
    <w:uiPriority w:val="99"/>
    <w:rsid w:val="0040630B"/>
    <w:rPr>
      <w:rFonts w:ascii="Universal" w:hAnsi="Times New Roman" w:cs="Universal"/>
    </w:rPr>
  </w:style>
  <w:style w:type="character" w:customStyle="1" w:styleId="HeaderChar">
    <w:name w:val="Header Char"/>
    <w:basedOn w:val="DefaultParagraphFont"/>
    <w:link w:val="Header"/>
    <w:uiPriority w:val="99"/>
    <w:locked/>
    <w:rsid w:val="0040630B"/>
    <w:rPr>
      <w:rFonts w:ascii="Universal" w:eastAsia="Times New Roman" w:cs="Universal"/>
      <w:sz w:val="24"/>
      <w:szCs w:val="24"/>
      <w:lang w:eastAsia="en-GB"/>
    </w:rPr>
  </w:style>
  <w:style w:type="paragraph" w:styleId="BodyText2">
    <w:name w:val="Body Text 2"/>
    <w:basedOn w:val="Normal"/>
    <w:link w:val="BodyText2Char"/>
    <w:uiPriority w:val="99"/>
    <w:rsid w:val="0040630B"/>
    <w:pPr>
      <w:spacing w:after="240"/>
      <w:ind w:left="720"/>
    </w:pPr>
  </w:style>
  <w:style w:type="character" w:customStyle="1" w:styleId="BodyText2Char">
    <w:name w:val="Body Text 2 Char"/>
    <w:basedOn w:val="DefaultParagraphFont"/>
    <w:link w:val="BodyText2"/>
    <w:uiPriority w:val="99"/>
    <w:semiHidden/>
    <w:locked/>
    <w:rsid w:val="0040630B"/>
    <w:rPr>
      <w:rFonts w:ascii="Arial" w:hAnsi="Arial" w:cs="Arial"/>
      <w:sz w:val="24"/>
      <w:szCs w:val="24"/>
      <w:lang w:eastAsia="en-GB"/>
    </w:rPr>
  </w:style>
  <w:style w:type="paragraph" w:styleId="BodyText">
    <w:name w:val="Body Text"/>
    <w:basedOn w:val="Normal"/>
    <w:link w:val="BodyTextChar"/>
    <w:uiPriority w:val="99"/>
    <w:rsid w:val="0040630B"/>
  </w:style>
  <w:style w:type="character" w:customStyle="1" w:styleId="BodyTextChar">
    <w:name w:val="Body Text Char"/>
    <w:basedOn w:val="DefaultParagraphFont"/>
    <w:link w:val="BodyText"/>
    <w:uiPriority w:val="99"/>
    <w:locked/>
    <w:rsid w:val="0040630B"/>
    <w:rPr>
      <w:rFonts w:ascii="Arial" w:hAnsi="Arial" w:cs="Arial"/>
      <w:sz w:val="24"/>
      <w:szCs w:val="24"/>
      <w:lang w:eastAsia="en-GB"/>
    </w:rPr>
  </w:style>
  <w:style w:type="paragraph" w:styleId="Footer">
    <w:name w:val="footer"/>
    <w:basedOn w:val="Normal"/>
    <w:link w:val="FooterChar"/>
    <w:uiPriority w:val="99"/>
    <w:rsid w:val="0040630B"/>
    <w:pPr>
      <w:tabs>
        <w:tab w:val="center" w:pos="4153"/>
        <w:tab w:val="right" w:pos="8306"/>
      </w:tabs>
    </w:pPr>
  </w:style>
  <w:style w:type="character" w:customStyle="1" w:styleId="FooterChar">
    <w:name w:val="Footer Char"/>
    <w:basedOn w:val="DefaultParagraphFont"/>
    <w:link w:val="Footer"/>
    <w:uiPriority w:val="99"/>
    <w:locked/>
    <w:rsid w:val="0040630B"/>
    <w:rPr>
      <w:rFonts w:ascii="Arial" w:hAnsi="Arial" w:cs="Arial"/>
      <w:sz w:val="24"/>
      <w:szCs w:val="24"/>
      <w:lang w:eastAsia="en-GB"/>
    </w:rPr>
  </w:style>
  <w:style w:type="character" w:styleId="PageNumber">
    <w:name w:val="page number"/>
    <w:basedOn w:val="DefaultParagraphFont"/>
    <w:uiPriority w:val="99"/>
    <w:rsid w:val="0040630B"/>
    <w:rPr>
      <w:rFonts w:cs="Times New Roman"/>
    </w:rPr>
  </w:style>
  <w:style w:type="paragraph" w:styleId="CommentText">
    <w:name w:val="annotation text"/>
    <w:basedOn w:val="Normal"/>
    <w:link w:val="CommentTextChar"/>
    <w:uiPriority w:val="99"/>
    <w:semiHidden/>
    <w:rsid w:val="0040630B"/>
    <w:rPr>
      <w:sz w:val="20"/>
      <w:szCs w:val="20"/>
    </w:rPr>
  </w:style>
  <w:style w:type="character" w:customStyle="1" w:styleId="CommentTextChar">
    <w:name w:val="Comment Text Char"/>
    <w:basedOn w:val="DefaultParagraphFont"/>
    <w:link w:val="CommentText"/>
    <w:uiPriority w:val="99"/>
    <w:semiHidden/>
    <w:locked/>
    <w:rsid w:val="0040630B"/>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rsid w:val="0040630B"/>
    <w:rPr>
      <w:b/>
      <w:bCs/>
    </w:rPr>
  </w:style>
  <w:style w:type="character" w:customStyle="1" w:styleId="CommentSubjectChar">
    <w:name w:val="Comment Subject Char"/>
    <w:basedOn w:val="CommentTextChar"/>
    <w:link w:val="CommentSubject"/>
    <w:uiPriority w:val="99"/>
    <w:semiHidden/>
    <w:locked/>
    <w:rsid w:val="0040630B"/>
    <w:rPr>
      <w:rFonts w:ascii="Arial" w:hAnsi="Arial" w:cs="Arial"/>
      <w:b/>
      <w:bCs/>
      <w:sz w:val="20"/>
      <w:szCs w:val="20"/>
      <w:lang w:eastAsia="en-GB"/>
    </w:rPr>
  </w:style>
  <w:style w:type="paragraph" w:styleId="BalloonText">
    <w:name w:val="Balloon Text"/>
    <w:basedOn w:val="Normal"/>
    <w:link w:val="BalloonTextChar"/>
    <w:uiPriority w:val="99"/>
    <w:semiHidden/>
    <w:rsid w:val="004063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B"/>
    <w:rPr>
      <w:rFonts w:ascii="Tahoma" w:hAnsi="Tahoma" w:cs="Tahoma"/>
      <w:sz w:val="16"/>
      <w:szCs w:val="16"/>
      <w:lang w:eastAsia="en-GB"/>
    </w:rPr>
  </w:style>
  <w:style w:type="paragraph" w:styleId="HTMLPreformatted">
    <w:name w:val="HTML Preformatted"/>
    <w:basedOn w:val="Normal"/>
    <w:link w:val="HTMLPreformattedChar"/>
    <w:uiPriority w:val="99"/>
    <w:rsid w:val="004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0630B"/>
    <w:rPr>
      <w:rFonts w:ascii="Courier New" w:hAnsi="Courier New" w:cs="Courier New"/>
      <w:sz w:val="20"/>
      <w:szCs w:val="20"/>
      <w:lang w:eastAsia="en-GB"/>
    </w:rPr>
  </w:style>
  <w:style w:type="paragraph" w:styleId="Caption">
    <w:name w:val="caption"/>
    <w:basedOn w:val="Normal"/>
    <w:next w:val="Normal"/>
    <w:uiPriority w:val="35"/>
    <w:qFormat/>
    <w:rsid w:val="0040630B"/>
    <w:pPr>
      <w:spacing w:after="240"/>
      <w:ind w:left="720"/>
    </w:pPr>
    <w:rPr>
      <w:b/>
      <w:bCs/>
    </w:rPr>
  </w:style>
  <w:style w:type="paragraph" w:styleId="PlainText">
    <w:name w:val="Plain Text"/>
    <w:basedOn w:val="Normal"/>
    <w:link w:val="PlainTextChar"/>
    <w:uiPriority w:val="99"/>
    <w:rsid w:val="0040630B"/>
    <w:rPr>
      <w:rFonts w:ascii="Consolas" w:hAnsi="Consolas" w:cs="Consolas"/>
      <w:sz w:val="21"/>
      <w:szCs w:val="21"/>
    </w:rPr>
  </w:style>
  <w:style w:type="character" w:customStyle="1" w:styleId="PlainTextChar">
    <w:name w:val="Plain Text Char"/>
    <w:basedOn w:val="DefaultParagraphFont"/>
    <w:link w:val="PlainText"/>
    <w:uiPriority w:val="99"/>
    <w:locked/>
    <w:rsid w:val="0040630B"/>
    <w:rPr>
      <w:rFonts w:ascii="Consolas" w:hAnsi="Consolas" w:cs="Consolas"/>
      <w:sz w:val="21"/>
      <w:szCs w:val="21"/>
      <w:lang w:eastAsia="en-GB"/>
    </w:rPr>
  </w:style>
  <w:style w:type="paragraph" w:styleId="ListParagraph">
    <w:name w:val="List Paragraph"/>
    <w:basedOn w:val="Normal"/>
    <w:uiPriority w:val="34"/>
    <w:qFormat/>
    <w:rsid w:val="0040630B"/>
    <w:pPr>
      <w:ind w:left="720"/>
      <w:contextualSpacing/>
    </w:pPr>
  </w:style>
  <w:style w:type="table" w:styleId="TableGrid">
    <w:name w:val="Table Grid"/>
    <w:basedOn w:val="TableNormal"/>
    <w:uiPriority w:val="59"/>
    <w:rsid w:val="0040630B"/>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DAE"/>
    <w:rPr>
      <w:rFonts w:cs="Times New Roman"/>
      <w:sz w:val="16"/>
      <w:szCs w:val="16"/>
    </w:rPr>
  </w:style>
  <w:style w:type="paragraph" w:styleId="BodyTextIndent">
    <w:name w:val="Body Text Indent"/>
    <w:basedOn w:val="Normal"/>
    <w:link w:val="BodyTextIndentChar"/>
    <w:uiPriority w:val="99"/>
    <w:unhideWhenUsed/>
    <w:rsid w:val="004F3510"/>
    <w:pPr>
      <w:spacing w:after="120"/>
      <w:ind w:left="283"/>
    </w:pPr>
  </w:style>
  <w:style w:type="character" w:customStyle="1" w:styleId="BodyTextIndentChar">
    <w:name w:val="Body Text Indent Char"/>
    <w:basedOn w:val="DefaultParagraphFont"/>
    <w:link w:val="BodyTextIndent"/>
    <w:uiPriority w:val="99"/>
    <w:locked/>
    <w:rsid w:val="004F3510"/>
    <w:rPr>
      <w:rFonts w:ascii="Arial" w:hAnsi="Arial" w:cs="Arial"/>
      <w:sz w:val="24"/>
      <w:szCs w:val="24"/>
      <w:lang w:eastAsia="en-GB"/>
    </w:rPr>
  </w:style>
  <w:style w:type="paragraph" w:styleId="Revision">
    <w:name w:val="Revision"/>
    <w:hidden/>
    <w:uiPriority w:val="99"/>
    <w:semiHidden/>
    <w:rsid w:val="00FF116C"/>
    <w:pPr>
      <w:spacing w:after="0" w:line="240" w:lineRule="auto"/>
    </w:pPr>
    <w:rPr>
      <w:rFonts w:ascii="Arial" w:hAnsi="Arial" w:cs="Arial"/>
      <w:sz w:val="24"/>
      <w:szCs w:val="24"/>
      <w:lang w:eastAsia="en-GB"/>
    </w:rPr>
  </w:style>
  <w:style w:type="numbering" w:customStyle="1" w:styleId="List1">
    <w:name w:val="List1"/>
    <w:pPr>
      <w:numPr>
        <w:numId w:val="11"/>
      </w:numPr>
    </w:pPr>
  </w:style>
  <w:style w:type="paragraph" w:customStyle="1" w:styleId="Default">
    <w:name w:val="Default"/>
    <w:rsid w:val="00D65E6B"/>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BE2FED"/>
    <w:pPr>
      <w:spacing w:after="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orpdata02.ad.lancscc.net\res\County%20Treasurer\Treasury\TM%20Stategy%20reports\2022-23\Estimated%20capital%20financing%20requirements%202022-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LIability Benchmark based on CFR and Actual Debt as at 30 November 2021</a:t>
            </a:r>
          </a:p>
        </c:rich>
      </c:tx>
      <c:layout>
        <c:manualLayout>
          <c:xMode val="edge"/>
          <c:yMode val="edge"/>
          <c:x val="0.15836472413029026"/>
          <c:y val="1.25598514325623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944091153760044E-2"/>
          <c:y val="0.12133291849157153"/>
          <c:w val="0.88257151159190406"/>
          <c:h val="0.80633973944746273"/>
        </c:manualLayout>
      </c:layout>
      <c:lineChart>
        <c:grouping val="standard"/>
        <c:varyColors val="0"/>
        <c:ser>
          <c:idx val="0"/>
          <c:order val="0"/>
          <c:tx>
            <c:strRef>
              <c:f>'LB Graph Report'!$B$4</c:f>
              <c:strCache>
                <c:ptCount val="1"/>
                <c:pt idx="0">
                  <c:v>Existing Debt outstanding</c:v>
                </c:pt>
              </c:strCache>
            </c:strRef>
          </c:tx>
          <c:spPr>
            <a:ln w="28575" cap="rnd">
              <a:solidFill>
                <a:schemeClr val="accent1"/>
              </a:solidFill>
              <a:round/>
            </a:ln>
            <a:effectLst/>
          </c:spPr>
          <c:marker>
            <c:symbol val="none"/>
          </c:marker>
          <c:cat>
            <c:strRef>
              <c:f>'LB Graph Report'!$A$5:$A$55</c:f>
              <c:strCache>
                <c:ptCount val="51"/>
                <c:pt idx="0">
                  <c:v>2020-21</c:v>
                </c:pt>
                <c:pt idx="1">
                  <c:v>2021/22</c:v>
                </c:pt>
                <c:pt idx="2">
                  <c:v>2022/23</c:v>
                </c:pt>
                <c:pt idx="3">
                  <c:v>2023/24</c:v>
                </c:pt>
                <c:pt idx="4">
                  <c:v>2024/25</c:v>
                </c:pt>
                <c:pt idx="5">
                  <c:v>2025/26</c:v>
                </c:pt>
                <c:pt idx="6">
                  <c:v>2026/27</c:v>
                </c:pt>
                <c:pt idx="7">
                  <c:v>2027/28</c:v>
                </c:pt>
                <c:pt idx="8">
                  <c:v>2028/29</c:v>
                </c:pt>
                <c:pt idx="9">
                  <c:v>2029/30</c:v>
                </c:pt>
                <c:pt idx="10">
                  <c:v>2030/31</c:v>
                </c:pt>
                <c:pt idx="11">
                  <c:v>2031/32</c:v>
                </c:pt>
                <c:pt idx="12">
                  <c:v>2032/33</c:v>
                </c:pt>
                <c:pt idx="13">
                  <c:v>2033/34</c:v>
                </c:pt>
                <c:pt idx="14">
                  <c:v>2034/35</c:v>
                </c:pt>
                <c:pt idx="15">
                  <c:v>2035/36</c:v>
                </c:pt>
                <c:pt idx="16">
                  <c:v>2036/37</c:v>
                </c:pt>
                <c:pt idx="17">
                  <c:v>2037/38</c:v>
                </c:pt>
                <c:pt idx="18">
                  <c:v>2038/39</c:v>
                </c:pt>
                <c:pt idx="19">
                  <c:v>2039/40</c:v>
                </c:pt>
                <c:pt idx="20">
                  <c:v>2040/41</c:v>
                </c:pt>
                <c:pt idx="21">
                  <c:v>2041/42</c:v>
                </c:pt>
                <c:pt idx="22">
                  <c:v>2042/43</c:v>
                </c:pt>
                <c:pt idx="23">
                  <c:v>2043/44</c:v>
                </c:pt>
                <c:pt idx="24">
                  <c:v>2044/45</c:v>
                </c:pt>
                <c:pt idx="25">
                  <c:v>2045/46</c:v>
                </c:pt>
                <c:pt idx="26">
                  <c:v>2046/47</c:v>
                </c:pt>
                <c:pt idx="27">
                  <c:v>2047/48</c:v>
                </c:pt>
                <c:pt idx="28">
                  <c:v>2048/49</c:v>
                </c:pt>
                <c:pt idx="29">
                  <c:v>2049/50</c:v>
                </c:pt>
                <c:pt idx="30">
                  <c:v>2050/51</c:v>
                </c:pt>
                <c:pt idx="31">
                  <c:v>2051/52</c:v>
                </c:pt>
                <c:pt idx="32">
                  <c:v>2052/53</c:v>
                </c:pt>
                <c:pt idx="33">
                  <c:v>2053/54</c:v>
                </c:pt>
                <c:pt idx="34">
                  <c:v>2054/55</c:v>
                </c:pt>
                <c:pt idx="35">
                  <c:v>2055/56</c:v>
                </c:pt>
                <c:pt idx="36">
                  <c:v>2056/57</c:v>
                </c:pt>
                <c:pt idx="37">
                  <c:v>2057/58</c:v>
                </c:pt>
                <c:pt idx="38">
                  <c:v>2058/59</c:v>
                </c:pt>
                <c:pt idx="39">
                  <c:v>2059/60</c:v>
                </c:pt>
                <c:pt idx="40">
                  <c:v>2060/61</c:v>
                </c:pt>
                <c:pt idx="41">
                  <c:v>2061/62</c:v>
                </c:pt>
                <c:pt idx="42">
                  <c:v>2062/63</c:v>
                </c:pt>
                <c:pt idx="43">
                  <c:v>2063/64</c:v>
                </c:pt>
                <c:pt idx="44">
                  <c:v>2064/65</c:v>
                </c:pt>
                <c:pt idx="45">
                  <c:v>2065/66</c:v>
                </c:pt>
                <c:pt idx="46">
                  <c:v>2066/67</c:v>
                </c:pt>
                <c:pt idx="47">
                  <c:v>2067/68</c:v>
                </c:pt>
                <c:pt idx="48">
                  <c:v>2068/69</c:v>
                </c:pt>
                <c:pt idx="49">
                  <c:v>2069/70</c:v>
                </c:pt>
                <c:pt idx="50">
                  <c:v>2070/71</c:v>
                </c:pt>
              </c:strCache>
            </c:strRef>
          </c:cat>
          <c:val>
            <c:numRef>
              <c:f>'LB Graph Report'!$B$5:$B$55</c:f>
              <c:numCache>
                <c:formatCode>#,##0</c:formatCode>
                <c:ptCount val="51"/>
                <c:pt idx="0">
                  <c:v>1386300</c:v>
                </c:pt>
                <c:pt idx="1">
                  <c:v>1001483</c:v>
                </c:pt>
                <c:pt idx="2">
                  <c:v>817318</c:v>
                </c:pt>
                <c:pt idx="3">
                  <c:v>801801</c:v>
                </c:pt>
                <c:pt idx="4">
                  <c:v>445935</c:v>
                </c:pt>
                <c:pt idx="5">
                  <c:v>439915</c:v>
                </c:pt>
                <c:pt idx="6">
                  <c:v>433810</c:v>
                </c:pt>
                <c:pt idx="7">
                  <c:v>429219</c:v>
                </c:pt>
                <c:pt idx="8">
                  <c:v>423007</c:v>
                </c:pt>
                <c:pt idx="9">
                  <c:v>415622</c:v>
                </c:pt>
                <c:pt idx="10">
                  <c:v>419478</c:v>
                </c:pt>
                <c:pt idx="11">
                  <c:v>408291</c:v>
                </c:pt>
                <c:pt idx="12">
                  <c:v>392027</c:v>
                </c:pt>
                <c:pt idx="13">
                  <c:v>375793</c:v>
                </c:pt>
                <c:pt idx="14">
                  <c:v>379553</c:v>
                </c:pt>
                <c:pt idx="15">
                  <c:v>383370</c:v>
                </c:pt>
                <c:pt idx="16">
                  <c:v>387246</c:v>
                </c:pt>
                <c:pt idx="17">
                  <c:v>390075</c:v>
                </c:pt>
                <c:pt idx="18">
                  <c:v>392970</c:v>
                </c:pt>
                <c:pt idx="19">
                  <c:v>394830</c:v>
                </c:pt>
                <c:pt idx="20">
                  <c:v>395594</c:v>
                </c:pt>
                <c:pt idx="21">
                  <c:v>366348</c:v>
                </c:pt>
                <c:pt idx="22">
                  <c:v>367066</c:v>
                </c:pt>
                <c:pt idx="23">
                  <c:v>367749</c:v>
                </c:pt>
                <c:pt idx="24">
                  <c:v>368424</c:v>
                </c:pt>
                <c:pt idx="25">
                  <c:v>369090</c:v>
                </c:pt>
                <c:pt idx="26">
                  <c:v>369748</c:v>
                </c:pt>
                <c:pt idx="27">
                  <c:v>370398</c:v>
                </c:pt>
                <c:pt idx="28">
                  <c:v>371041</c:v>
                </c:pt>
                <c:pt idx="29">
                  <c:v>371676</c:v>
                </c:pt>
                <c:pt idx="30">
                  <c:v>372304</c:v>
                </c:pt>
                <c:pt idx="31">
                  <c:v>372926</c:v>
                </c:pt>
                <c:pt idx="32">
                  <c:v>373477</c:v>
                </c:pt>
                <c:pt idx="33">
                  <c:v>374022</c:v>
                </c:pt>
                <c:pt idx="34">
                  <c:v>374561</c:v>
                </c:pt>
                <c:pt idx="35">
                  <c:v>375095</c:v>
                </c:pt>
                <c:pt idx="36">
                  <c:v>375624</c:v>
                </c:pt>
                <c:pt idx="37">
                  <c:v>346147</c:v>
                </c:pt>
                <c:pt idx="38">
                  <c:v>346665</c:v>
                </c:pt>
                <c:pt idx="39">
                  <c:v>347178</c:v>
                </c:pt>
                <c:pt idx="40">
                  <c:v>97687</c:v>
                </c:pt>
                <c:pt idx="41">
                  <c:v>97793</c:v>
                </c:pt>
                <c:pt idx="42">
                  <c:v>97895</c:v>
                </c:pt>
                <c:pt idx="43">
                  <c:v>97993</c:v>
                </c:pt>
                <c:pt idx="44">
                  <c:v>88087</c:v>
                </c:pt>
                <c:pt idx="45">
                  <c:v>78177</c:v>
                </c:pt>
                <c:pt idx="46">
                  <c:v>73263</c:v>
                </c:pt>
                <c:pt idx="47">
                  <c:v>53346</c:v>
                </c:pt>
                <c:pt idx="48">
                  <c:v>33426</c:v>
                </c:pt>
                <c:pt idx="49">
                  <c:v>0</c:v>
                </c:pt>
                <c:pt idx="50">
                  <c:v>0</c:v>
                </c:pt>
              </c:numCache>
            </c:numRef>
          </c:val>
          <c:smooth val="0"/>
          <c:extLst>
            <c:ext xmlns:c16="http://schemas.microsoft.com/office/drawing/2014/chart" uri="{C3380CC4-5D6E-409C-BE32-E72D297353CC}">
              <c16:uniqueId val="{00000000-DC9C-4D40-B2F2-34B814B3B47F}"/>
            </c:ext>
          </c:extLst>
        </c:ser>
        <c:ser>
          <c:idx val="1"/>
          <c:order val="1"/>
          <c:tx>
            <c:strRef>
              <c:f>'LB Graph Report'!$C$4</c:f>
              <c:strCache>
                <c:ptCount val="1"/>
                <c:pt idx="0">
                  <c:v>Forecast Net Loans Requirement</c:v>
                </c:pt>
              </c:strCache>
            </c:strRef>
          </c:tx>
          <c:spPr>
            <a:ln w="28575" cap="rnd">
              <a:solidFill>
                <a:schemeClr val="accent2"/>
              </a:solidFill>
              <a:round/>
            </a:ln>
            <a:effectLst/>
          </c:spPr>
          <c:marker>
            <c:symbol val="none"/>
          </c:marker>
          <c:cat>
            <c:strRef>
              <c:f>'LB Graph Report'!$A$5:$A$55</c:f>
              <c:strCache>
                <c:ptCount val="51"/>
                <c:pt idx="0">
                  <c:v>2020-21</c:v>
                </c:pt>
                <c:pt idx="1">
                  <c:v>2021/22</c:v>
                </c:pt>
                <c:pt idx="2">
                  <c:v>2022/23</c:v>
                </c:pt>
                <c:pt idx="3">
                  <c:v>2023/24</c:v>
                </c:pt>
                <c:pt idx="4">
                  <c:v>2024/25</c:v>
                </c:pt>
                <c:pt idx="5">
                  <c:v>2025/26</c:v>
                </c:pt>
                <c:pt idx="6">
                  <c:v>2026/27</c:v>
                </c:pt>
                <c:pt idx="7">
                  <c:v>2027/28</c:v>
                </c:pt>
                <c:pt idx="8">
                  <c:v>2028/29</c:v>
                </c:pt>
                <c:pt idx="9">
                  <c:v>2029/30</c:v>
                </c:pt>
                <c:pt idx="10">
                  <c:v>2030/31</c:v>
                </c:pt>
                <c:pt idx="11">
                  <c:v>2031/32</c:v>
                </c:pt>
                <c:pt idx="12">
                  <c:v>2032/33</c:v>
                </c:pt>
                <c:pt idx="13">
                  <c:v>2033/34</c:v>
                </c:pt>
                <c:pt idx="14">
                  <c:v>2034/35</c:v>
                </c:pt>
                <c:pt idx="15">
                  <c:v>2035/36</c:v>
                </c:pt>
                <c:pt idx="16">
                  <c:v>2036/37</c:v>
                </c:pt>
                <c:pt idx="17">
                  <c:v>2037/38</c:v>
                </c:pt>
                <c:pt idx="18">
                  <c:v>2038/39</c:v>
                </c:pt>
                <c:pt idx="19">
                  <c:v>2039/40</c:v>
                </c:pt>
                <c:pt idx="20">
                  <c:v>2040/41</c:v>
                </c:pt>
                <c:pt idx="21">
                  <c:v>2041/42</c:v>
                </c:pt>
                <c:pt idx="22">
                  <c:v>2042/43</c:v>
                </c:pt>
                <c:pt idx="23">
                  <c:v>2043/44</c:v>
                </c:pt>
                <c:pt idx="24">
                  <c:v>2044/45</c:v>
                </c:pt>
                <c:pt idx="25">
                  <c:v>2045/46</c:v>
                </c:pt>
                <c:pt idx="26">
                  <c:v>2046/47</c:v>
                </c:pt>
                <c:pt idx="27">
                  <c:v>2047/48</c:v>
                </c:pt>
                <c:pt idx="28">
                  <c:v>2048/49</c:v>
                </c:pt>
                <c:pt idx="29">
                  <c:v>2049/50</c:v>
                </c:pt>
                <c:pt idx="30">
                  <c:v>2050/51</c:v>
                </c:pt>
                <c:pt idx="31">
                  <c:v>2051/52</c:v>
                </c:pt>
                <c:pt idx="32">
                  <c:v>2052/53</c:v>
                </c:pt>
                <c:pt idx="33">
                  <c:v>2053/54</c:v>
                </c:pt>
                <c:pt idx="34">
                  <c:v>2054/55</c:v>
                </c:pt>
                <c:pt idx="35">
                  <c:v>2055/56</c:v>
                </c:pt>
                <c:pt idx="36">
                  <c:v>2056/57</c:v>
                </c:pt>
                <c:pt idx="37">
                  <c:v>2057/58</c:v>
                </c:pt>
                <c:pt idx="38">
                  <c:v>2058/59</c:v>
                </c:pt>
                <c:pt idx="39">
                  <c:v>2059/60</c:v>
                </c:pt>
                <c:pt idx="40">
                  <c:v>2060/61</c:v>
                </c:pt>
                <c:pt idx="41">
                  <c:v>2061/62</c:v>
                </c:pt>
                <c:pt idx="42">
                  <c:v>2062/63</c:v>
                </c:pt>
                <c:pt idx="43">
                  <c:v>2063/64</c:v>
                </c:pt>
                <c:pt idx="44">
                  <c:v>2064/65</c:v>
                </c:pt>
                <c:pt idx="45">
                  <c:v>2065/66</c:v>
                </c:pt>
                <c:pt idx="46">
                  <c:v>2066/67</c:v>
                </c:pt>
                <c:pt idx="47">
                  <c:v>2067/68</c:v>
                </c:pt>
                <c:pt idx="48">
                  <c:v>2068/69</c:v>
                </c:pt>
                <c:pt idx="49">
                  <c:v>2069/70</c:v>
                </c:pt>
                <c:pt idx="50">
                  <c:v>2070/71</c:v>
                </c:pt>
              </c:strCache>
            </c:strRef>
          </c:cat>
          <c:val>
            <c:numRef>
              <c:f>'LB Graph Report'!$C$5:$C$55</c:f>
              <c:numCache>
                <c:formatCode>#,##0</c:formatCode>
                <c:ptCount val="51"/>
                <c:pt idx="0">
                  <c:v>348899.99999999988</c:v>
                </c:pt>
                <c:pt idx="1">
                  <c:v>486409.99999999988</c:v>
                </c:pt>
                <c:pt idx="2">
                  <c:v>585501.99999999988</c:v>
                </c:pt>
                <c:pt idx="3">
                  <c:v>620370.99999999988</c:v>
                </c:pt>
                <c:pt idx="4">
                  <c:v>647578.99999999988</c:v>
                </c:pt>
                <c:pt idx="5">
                  <c:v>668928.99999999988</c:v>
                </c:pt>
                <c:pt idx="6">
                  <c:v>640001.99999999988</c:v>
                </c:pt>
                <c:pt idx="7">
                  <c:v>611156.99999999988</c:v>
                </c:pt>
                <c:pt idx="8">
                  <c:v>581888.99999999988</c:v>
                </c:pt>
                <c:pt idx="9">
                  <c:v>548697.99999999988</c:v>
                </c:pt>
                <c:pt idx="10">
                  <c:v>517215.99999999988</c:v>
                </c:pt>
                <c:pt idx="11">
                  <c:v>482208.99999999988</c:v>
                </c:pt>
                <c:pt idx="12">
                  <c:v>438700.99999999988</c:v>
                </c:pt>
                <c:pt idx="13">
                  <c:v>394100.99999999988</c:v>
                </c:pt>
                <c:pt idx="14">
                  <c:v>348481.99999999988</c:v>
                </c:pt>
                <c:pt idx="15">
                  <c:v>302478.99999999988</c:v>
                </c:pt>
                <c:pt idx="16">
                  <c:v>256547.99999999988</c:v>
                </c:pt>
                <c:pt idx="17">
                  <c:v>213166.99999999988</c:v>
                </c:pt>
                <c:pt idx="18">
                  <c:v>168514.99999999988</c:v>
                </c:pt>
                <c:pt idx="19">
                  <c:v>137222.99999999988</c:v>
                </c:pt>
                <c:pt idx="20">
                  <c:v>106406.99999999988</c:v>
                </c:pt>
                <c:pt idx="21">
                  <c:v>75236.999999999884</c:v>
                </c:pt>
                <c:pt idx="22">
                  <c:v>47415.999999999884</c:v>
                </c:pt>
                <c:pt idx="23">
                  <c:v>19051.999999999884</c:v>
                </c:pt>
                <c:pt idx="24">
                  <c:v>-10101.000000000116</c:v>
                </c:pt>
                <c:pt idx="25">
                  <c:v>-39924.000000000116</c:v>
                </c:pt>
                <c:pt idx="26">
                  <c:v>-70595.000000000116</c:v>
                </c:pt>
                <c:pt idx="27">
                  <c:v>-102158.00000000012</c:v>
                </c:pt>
                <c:pt idx="28">
                  <c:v>-134639.00000000012</c:v>
                </c:pt>
                <c:pt idx="29">
                  <c:v>-168062.00000000012</c:v>
                </c:pt>
                <c:pt idx="30">
                  <c:v>-202458.00000000012</c:v>
                </c:pt>
                <c:pt idx="31">
                  <c:v>-237854.00000000012</c:v>
                </c:pt>
                <c:pt idx="32">
                  <c:v>-274280.00000000012</c:v>
                </c:pt>
                <c:pt idx="33">
                  <c:v>-311769.00000000012</c:v>
                </c:pt>
                <c:pt idx="34">
                  <c:v>-350350.00000000012</c:v>
                </c:pt>
                <c:pt idx="35">
                  <c:v>-390058.00000000012</c:v>
                </c:pt>
                <c:pt idx="36">
                  <c:v>-430926.00000000012</c:v>
                </c:pt>
                <c:pt idx="37">
                  <c:v>-444968.00000000012</c:v>
                </c:pt>
                <c:pt idx="38">
                  <c:v>-455721.00000000012</c:v>
                </c:pt>
                <c:pt idx="39">
                  <c:v>-461591.00000000012</c:v>
                </c:pt>
                <c:pt idx="40">
                  <c:v>-465485.00000000012</c:v>
                </c:pt>
                <c:pt idx="41">
                  <c:v>-467362.00000000012</c:v>
                </c:pt>
                <c:pt idx="42">
                  <c:v>-469287.00000000012</c:v>
                </c:pt>
                <c:pt idx="43">
                  <c:v>-471264.00000000012</c:v>
                </c:pt>
                <c:pt idx="44">
                  <c:v>-473283.00000000012</c:v>
                </c:pt>
                <c:pt idx="45">
                  <c:v>-475355.00000000012</c:v>
                </c:pt>
                <c:pt idx="46">
                  <c:v>-477482.00000000012</c:v>
                </c:pt>
                <c:pt idx="47">
                  <c:v>-479615.00000000012</c:v>
                </c:pt>
                <c:pt idx="48">
                  <c:v>-480758.00000000012</c:v>
                </c:pt>
                <c:pt idx="49">
                  <c:v>-480946.00000000012</c:v>
                </c:pt>
                <c:pt idx="50">
                  <c:v>-481050.00000000012</c:v>
                </c:pt>
              </c:numCache>
            </c:numRef>
          </c:val>
          <c:smooth val="0"/>
          <c:extLst>
            <c:ext xmlns:c16="http://schemas.microsoft.com/office/drawing/2014/chart" uri="{C3380CC4-5D6E-409C-BE32-E72D297353CC}">
              <c16:uniqueId val="{00000001-DC9C-4D40-B2F2-34B814B3B47F}"/>
            </c:ext>
          </c:extLst>
        </c:ser>
        <c:ser>
          <c:idx val="2"/>
          <c:order val="2"/>
          <c:tx>
            <c:strRef>
              <c:f>'LB Graph Report'!$D$4</c:f>
              <c:strCache>
                <c:ptCount val="1"/>
                <c:pt idx="0">
                  <c:v>Loans CFR</c:v>
                </c:pt>
              </c:strCache>
            </c:strRef>
          </c:tx>
          <c:spPr>
            <a:ln w="28575" cap="rnd">
              <a:solidFill>
                <a:schemeClr val="accent3"/>
              </a:solidFill>
              <a:round/>
            </a:ln>
            <a:effectLst/>
          </c:spPr>
          <c:marker>
            <c:symbol val="none"/>
          </c:marker>
          <c:cat>
            <c:strRef>
              <c:f>'LB Graph Report'!$A$5:$A$55</c:f>
              <c:strCache>
                <c:ptCount val="51"/>
                <c:pt idx="0">
                  <c:v>2020-21</c:v>
                </c:pt>
                <c:pt idx="1">
                  <c:v>2021/22</c:v>
                </c:pt>
                <c:pt idx="2">
                  <c:v>2022/23</c:v>
                </c:pt>
                <c:pt idx="3">
                  <c:v>2023/24</c:v>
                </c:pt>
                <c:pt idx="4">
                  <c:v>2024/25</c:v>
                </c:pt>
                <c:pt idx="5">
                  <c:v>2025/26</c:v>
                </c:pt>
                <c:pt idx="6">
                  <c:v>2026/27</c:v>
                </c:pt>
                <c:pt idx="7">
                  <c:v>2027/28</c:v>
                </c:pt>
                <c:pt idx="8">
                  <c:v>2028/29</c:v>
                </c:pt>
                <c:pt idx="9">
                  <c:v>2029/30</c:v>
                </c:pt>
                <c:pt idx="10">
                  <c:v>2030/31</c:v>
                </c:pt>
                <c:pt idx="11">
                  <c:v>2031/32</c:v>
                </c:pt>
                <c:pt idx="12">
                  <c:v>2032/33</c:v>
                </c:pt>
                <c:pt idx="13">
                  <c:v>2033/34</c:v>
                </c:pt>
                <c:pt idx="14">
                  <c:v>2034/35</c:v>
                </c:pt>
                <c:pt idx="15">
                  <c:v>2035/36</c:v>
                </c:pt>
                <c:pt idx="16">
                  <c:v>2036/37</c:v>
                </c:pt>
                <c:pt idx="17">
                  <c:v>2037/38</c:v>
                </c:pt>
                <c:pt idx="18">
                  <c:v>2038/39</c:v>
                </c:pt>
                <c:pt idx="19">
                  <c:v>2039/40</c:v>
                </c:pt>
                <c:pt idx="20">
                  <c:v>2040/41</c:v>
                </c:pt>
                <c:pt idx="21">
                  <c:v>2041/42</c:v>
                </c:pt>
                <c:pt idx="22">
                  <c:v>2042/43</c:v>
                </c:pt>
                <c:pt idx="23">
                  <c:v>2043/44</c:v>
                </c:pt>
                <c:pt idx="24">
                  <c:v>2044/45</c:v>
                </c:pt>
                <c:pt idx="25">
                  <c:v>2045/46</c:v>
                </c:pt>
                <c:pt idx="26">
                  <c:v>2046/47</c:v>
                </c:pt>
                <c:pt idx="27">
                  <c:v>2047/48</c:v>
                </c:pt>
                <c:pt idx="28">
                  <c:v>2048/49</c:v>
                </c:pt>
                <c:pt idx="29">
                  <c:v>2049/50</c:v>
                </c:pt>
                <c:pt idx="30">
                  <c:v>2050/51</c:v>
                </c:pt>
                <c:pt idx="31">
                  <c:v>2051/52</c:v>
                </c:pt>
                <c:pt idx="32">
                  <c:v>2052/53</c:v>
                </c:pt>
                <c:pt idx="33">
                  <c:v>2053/54</c:v>
                </c:pt>
                <c:pt idx="34">
                  <c:v>2054/55</c:v>
                </c:pt>
                <c:pt idx="35">
                  <c:v>2055/56</c:v>
                </c:pt>
                <c:pt idx="36">
                  <c:v>2056/57</c:v>
                </c:pt>
                <c:pt idx="37">
                  <c:v>2057/58</c:v>
                </c:pt>
                <c:pt idx="38">
                  <c:v>2058/59</c:v>
                </c:pt>
                <c:pt idx="39">
                  <c:v>2059/60</c:v>
                </c:pt>
                <c:pt idx="40">
                  <c:v>2060/61</c:v>
                </c:pt>
                <c:pt idx="41">
                  <c:v>2061/62</c:v>
                </c:pt>
                <c:pt idx="42">
                  <c:v>2062/63</c:v>
                </c:pt>
                <c:pt idx="43">
                  <c:v>2063/64</c:v>
                </c:pt>
                <c:pt idx="44">
                  <c:v>2064/65</c:v>
                </c:pt>
                <c:pt idx="45">
                  <c:v>2065/66</c:v>
                </c:pt>
                <c:pt idx="46">
                  <c:v>2066/67</c:v>
                </c:pt>
                <c:pt idx="47">
                  <c:v>2067/68</c:v>
                </c:pt>
                <c:pt idx="48">
                  <c:v>2068/69</c:v>
                </c:pt>
                <c:pt idx="49">
                  <c:v>2069/70</c:v>
                </c:pt>
                <c:pt idx="50">
                  <c:v>2070/71</c:v>
                </c:pt>
              </c:strCache>
            </c:strRef>
          </c:cat>
          <c:val>
            <c:numRef>
              <c:f>'LB Graph Report'!$D$5:$D$55</c:f>
              <c:numCache>
                <c:formatCode>#,##0</c:formatCode>
                <c:ptCount val="51"/>
                <c:pt idx="0">
                  <c:v>969950</c:v>
                </c:pt>
                <c:pt idx="1">
                  <c:v>1023460</c:v>
                </c:pt>
                <c:pt idx="2">
                  <c:v>1082552</c:v>
                </c:pt>
                <c:pt idx="3">
                  <c:v>1106421</c:v>
                </c:pt>
                <c:pt idx="4">
                  <c:v>1128629</c:v>
                </c:pt>
                <c:pt idx="5">
                  <c:v>1149979</c:v>
                </c:pt>
                <c:pt idx="6">
                  <c:v>1121052</c:v>
                </c:pt>
                <c:pt idx="7">
                  <c:v>1092207</c:v>
                </c:pt>
                <c:pt idx="8">
                  <c:v>1062939</c:v>
                </c:pt>
                <c:pt idx="9">
                  <c:v>1029748</c:v>
                </c:pt>
                <c:pt idx="10">
                  <c:v>998266</c:v>
                </c:pt>
                <c:pt idx="11">
                  <c:v>963259</c:v>
                </c:pt>
                <c:pt idx="12">
                  <c:v>919751</c:v>
                </c:pt>
                <c:pt idx="13">
                  <c:v>875151</c:v>
                </c:pt>
                <c:pt idx="14">
                  <c:v>829532</c:v>
                </c:pt>
                <c:pt idx="15">
                  <c:v>783529</c:v>
                </c:pt>
                <c:pt idx="16">
                  <c:v>737598</c:v>
                </c:pt>
                <c:pt idx="17">
                  <c:v>694217</c:v>
                </c:pt>
                <c:pt idx="18">
                  <c:v>649565</c:v>
                </c:pt>
                <c:pt idx="19">
                  <c:v>618273</c:v>
                </c:pt>
                <c:pt idx="20">
                  <c:v>587457</c:v>
                </c:pt>
                <c:pt idx="21">
                  <c:v>556287</c:v>
                </c:pt>
                <c:pt idx="22">
                  <c:v>528466</c:v>
                </c:pt>
                <c:pt idx="23">
                  <c:v>500102</c:v>
                </c:pt>
                <c:pt idx="24">
                  <c:v>470949</c:v>
                </c:pt>
                <c:pt idx="25">
                  <c:v>441126</c:v>
                </c:pt>
                <c:pt idx="26">
                  <c:v>410455</c:v>
                </c:pt>
                <c:pt idx="27">
                  <c:v>378892</c:v>
                </c:pt>
                <c:pt idx="28">
                  <c:v>346411</c:v>
                </c:pt>
                <c:pt idx="29">
                  <c:v>312988</c:v>
                </c:pt>
                <c:pt idx="30">
                  <c:v>278592</c:v>
                </c:pt>
                <c:pt idx="31">
                  <c:v>243196</c:v>
                </c:pt>
                <c:pt idx="32">
                  <c:v>206770</c:v>
                </c:pt>
                <c:pt idx="33">
                  <c:v>169281</c:v>
                </c:pt>
                <c:pt idx="34">
                  <c:v>130700</c:v>
                </c:pt>
                <c:pt idx="35">
                  <c:v>90992</c:v>
                </c:pt>
                <c:pt idx="36">
                  <c:v>50124</c:v>
                </c:pt>
                <c:pt idx="37">
                  <c:v>36082</c:v>
                </c:pt>
                <c:pt idx="38">
                  <c:v>25329</c:v>
                </c:pt>
                <c:pt idx="39">
                  <c:v>19459</c:v>
                </c:pt>
                <c:pt idx="40">
                  <c:v>15565</c:v>
                </c:pt>
                <c:pt idx="41">
                  <c:v>13688</c:v>
                </c:pt>
                <c:pt idx="42">
                  <c:v>11763</c:v>
                </c:pt>
                <c:pt idx="43">
                  <c:v>9786</c:v>
                </c:pt>
                <c:pt idx="44">
                  <c:v>7767</c:v>
                </c:pt>
                <c:pt idx="45">
                  <c:v>5695</c:v>
                </c:pt>
                <c:pt idx="46">
                  <c:v>3568</c:v>
                </c:pt>
                <c:pt idx="47">
                  <c:v>1435</c:v>
                </c:pt>
                <c:pt idx="48">
                  <c:v>292</c:v>
                </c:pt>
                <c:pt idx="49">
                  <c:v>104</c:v>
                </c:pt>
                <c:pt idx="50">
                  <c:v>0</c:v>
                </c:pt>
              </c:numCache>
            </c:numRef>
          </c:val>
          <c:smooth val="0"/>
          <c:extLst>
            <c:ext xmlns:c16="http://schemas.microsoft.com/office/drawing/2014/chart" uri="{C3380CC4-5D6E-409C-BE32-E72D297353CC}">
              <c16:uniqueId val="{00000002-DC9C-4D40-B2F2-34B814B3B47F}"/>
            </c:ext>
          </c:extLst>
        </c:ser>
        <c:ser>
          <c:idx val="3"/>
          <c:order val="3"/>
          <c:tx>
            <c:strRef>
              <c:f>'LB Graph Report'!$E$4</c:f>
              <c:strCache>
                <c:ptCount val="1"/>
                <c:pt idx="0">
                  <c:v>Liability Benchmark</c:v>
                </c:pt>
              </c:strCache>
            </c:strRef>
          </c:tx>
          <c:spPr>
            <a:ln w="28575" cap="rnd">
              <a:solidFill>
                <a:schemeClr val="accent4"/>
              </a:solidFill>
              <a:round/>
            </a:ln>
            <a:effectLst/>
          </c:spPr>
          <c:marker>
            <c:symbol val="none"/>
          </c:marker>
          <c:cat>
            <c:strRef>
              <c:f>'LB Graph Report'!$A$5:$A$55</c:f>
              <c:strCache>
                <c:ptCount val="51"/>
                <c:pt idx="0">
                  <c:v>2020-21</c:v>
                </c:pt>
                <c:pt idx="1">
                  <c:v>2021/22</c:v>
                </c:pt>
                <c:pt idx="2">
                  <c:v>2022/23</c:v>
                </c:pt>
                <c:pt idx="3">
                  <c:v>2023/24</c:v>
                </c:pt>
                <c:pt idx="4">
                  <c:v>2024/25</c:v>
                </c:pt>
                <c:pt idx="5">
                  <c:v>2025/26</c:v>
                </c:pt>
                <c:pt idx="6">
                  <c:v>2026/27</c:v>
                </c:pt>
                <c:pt idx="7">
                  <c:v>2027/28</c:v>
                </c:pt>
                <c:pt idx="8">
                  <c:v>2028/29</c:v>
                </c:pt>
                <c:pt idx="9">
                  <c:v>2029/30</c:v>
                </c:pt>
                <c:pt idx="10">
                  <c:v>2030/31</c:v>
                </c:pt>
                <c:pt idx="11">
                  <c:v>2031/32</c:v>
                </c:pt>
                <c:pt idx="12">
                  <c:v>2032/33</c:v>
                </c:pt>
                <c:pt idx="13">
                  <c:v>2033/34</c:v>
                </c:pt>
                <c:pt idx="14">
                  <c:v>2034/35</c:v>
                </c:pt>
                <c:pt idx="15">
                  <c:v>2035/36</c:v>
                </c:pt>
                <c:pt idx="16">
                  <c:v>2036/37</c:v>
                </c:pt>
                <c:pt idx="17">
                  <c:v>2037/38</c:v>
                </c:pt>
                <c:pt idx="18">
                  <c:v>2038/39</c:v>
                </c:pt>
                <c:pt idx="19">
                  <c:v>2039/40</c:v>
                </c:pt>
                <c:pt idx="20">
                  <c:v>2040/41</c:v>
                </c:pt>
                <c:pt idx="21">
                  <c:v>2041/42</c:v>
                </c:pt>
                <c:pt idx="22">
                  <c:v>2042/43</c:v>
                </c:pt>
                <c:pt idx="23">
                  <c:v>2043/44</c:v>
                </c:pt>
                <c:pt idx="24">
                  <c:v>2044/45</c:v>
                </c:pt>
                <c:pt idx="25">
                  <c:v>2045/46</c:v>
                </c:pt>
                <c:pt idx="26">
                  <c:v>2046/47</c:v>
                </c:pt>
                <c:pt idx="27">
                  <c:v>2047/48</c:v>
                </c:pt>
                <c:pt idx="28">
                  <c:v>2048/49</c:v>
                </c:pt>
                <c:pt idx="29">
                  <c:v>2049/50</c:v>
                </c:pt>
                <c:pt idx="30">
                  <c:v>2050/51</c:v>
                </c:pt>
                <c:pt idx="31">
                  <c:v>2051/52</c:v>
                </c:pt>
                <c:pt idx="32">
                  <c:v>2052/53</c:v>
                </c:pt>
                <c:pt idx="33">
                  <c:v>2053/54</c:v>
                </c:pt>
                <c:pt idx="34">
                  <c:v>2054/55</c:v>
                </c:pt>
                <c:pt idx="35">
                  <c:v>2055/56</c:v>
                </c:pt>
                <c:pt idx="36">
                  <c:v>2056/57</c:v>
                </c:pt>
                <c:pt idx="37">
                  <c:v>2057/58</c:v>
                </c:pt>
                <c:pt idx="38">
                  <c:v>2058/59</c:v>
                </c:pt>
                <c:pt idx="39">
                  <c:v>2059/60</c:v>
                </c:pt>
                <c:pt idx="40">
                  <c:v>2060/61</c:v>
                </c:pt>
                <c:pt idx="41">
                  <c:v>2061/62</c:v>
                </c:pt>
                <c:pt idx="42">
                  <c:v>2062/63</c:v>
                </c:pt>
                <c:pt idx="43">
                  <c:v>2063/64</c:v>
                </c:pt>
                <c:pt idx="44">
                  <c:v>2064/65</c:v>
                </c:pt>
                <c:pt idx="45">
                  <c:v>2065/66</c:v>
                </c:pt>
                <c:pt idx="46">
                  <c:v>2066/67</c:v>
                </c:pt>
                <c:pt idx="47">
                  <c:v>2067/68</c:v>
                </c:pt>
                <c:pt idx="48">
                  <c:v>2068/69</c:v>
                </c:pt>
                <c:pt idx="49">
                  <c:v>2069/70</c:v>
                </c:pt>
                <c:pt idx="50">
                  <c:v>2070/71</c:v>
                </c:pt>
              </c:strCache>
            </c:strRef>
          </c:cat>
          <c:val>
            <c:numRef>
              <c:f>'LB Graph Report'!$E$5:$E$55</c:f>
              <c:numCache>
                <c:formatCode>#,##0</c:formatCode>
                <c:ptCount val="51"/>
                <c:pt idx="0">
                  <c:v>398899.99999999988</c:v>
                </c:pt>
                <c:pt idx="1">
                  <c:v>536409.99999999988</c:v>
                </c:pt>
                <c:pt idx="2">
                  <c:v>635501.99999999988</c:v>
                </c:pt>
                <c:pt idx="3">
                  <c:v>670370.99999999988</c:v>
                </c:pt>
                <c:pt idx="4">
                  <c:v>697578.99999999988</c:v>
                </c:pt>
                <c:pt idx="5">
                  <c:v>718928.99999999988</c:v>
                </c:pt>
                <c:pt idx="6">
                  <c:v>690001.99999999988</c:v>
                </c:pt>
                <c:pt idx="7">
                  <c:v>661156.99999999988</c:v>
                </c:pt>
                <c:pt idx="8">
                  <c:v>631888.99999999988</c:v>
                </c:pt>
                <c:pt idx="9">
                  <c:v>598697.99999999988</c:v>
                </c:pt>
                <c:pt idx="10">
                  <c:v>567215.99999999988</c:v>
                </c:pt>
                <c:pt idx="11">
                  <c:v>532208.99999999988</c:v>
                </c:pt>
                <c:pt idx="12">
                  <c:v>488700.99999999988</c:v>
                </c:pt>
                <c:pt idx="13">
                  <c:v>444100.99999999988</c:v>
                </c:pt>
                <c:pt idx="14">
                  <c:v>398481.99999999988</c:v>
                </c:pt>
                <c:pt idx="15">
                  <c:v>352478.99999999988</c:v>
                </c:pt>
                <c:pt idx="16">
                  <c:v>306547.99999999988</c:v>
                </c:pt>
                <c:pt idx="17">
                  <c:v>263166.99999999988</c:v>
                </c:pt>
                <c:pt idx="18">
                  <c:v>218514.99999999988</c:v>
                </c:pt>
                <c:pt idx="19">
                  <c:v>187222.99999999988</c:v>
                </c:pt>
                <c:pt idx="20">
                  <c:v>156406.99999999988</c:v>
                </c:pt>
                <c:pt idx="21">
                  <c:v>125236.99999999988</c:v>
                </c:pt>
                <c:pt idx="22">
                  <c:v>97415.999999999884</c:v>
                </c:pt>
                <c:pt idx="23">
                  <c:v>69051.999999999884</c:v>
                </c:pt>
                <c:pt idx="24">
                  <c:v>39898.999999999884</c:v>
                </c:pt>
                <c:pt idx="25">
                  <c:v>10075.999999999884</c:v>
                </c:pt>
                <c:pt idx="26">
                  <c:v>-20595.000000000116</c:v>
                </c:pt>
                <c:pt idx="27">
                  <c:v>-52158.000000000116</c:v>
                </c:pt>
                <c:pt idx="28">
                  <c:v>-84639.000000000116</c:v>
                </c:pt>
                <c:pt idx="29">
                  <c:v>-118062.00000000012</c:v>
                </c:pt>
                <c:pt idx="30">
                  <c:v>-152458.00000000012</c:v>
                </c:pt>
                <c:pt idx="31">
                  <c:v>-187854.00000000012</c:v>
                </c:pt>
                <c:pt idx="32">
                  <c:v>-224280.00000000012</c:v>
                </c:pt>
                <c:pt idx="33">
                  <c:v>-261769.00000000012</c:v>
                </c:pt>
                <c:pt idx="34">
                  <c:v>-300350.00000000012</c:v>
                </c:pt>
                <c:pt idx="35">
                  <c:v>-340058.00000000012</c:v>
                </c:pt>
                <c:pt idx="36">
                  <c:v>-380926.00000000012</c:v>
                </c:pt>
                <c:pt idx="37">
                  <c:v>-394968.00000000012</c:v>
                </c:pt>
                <c:pt idx="38">
                  <c:v>-405721.00000000012</c:v>
                </c:pt>
                <c:pt idx="39">
                  <c:v>-411591.00000000012</c:v>
                </c:pt>
                <c:pt idx="40">
                  <c:v>-415485.00000000012</c:v>
                </c:pt>
                <c:pt idx="41">
                  <c:v>-417362.00000000012</c:v>
                </c:pt>
                <c:pt idx="42">
                  <c:v>-419287.00000000012</c:v>
                </c:pt>
                <c:pt idx="43">
                  <c:v>-421264.00000000012</c:v>
                </c:pt>
                <c:pt idx="44">
                  <c:v>-423283.00000000012</c:v>
                </c:pt>
                <c:pt idx="45">
                  <c:v>-425355.00000000012</c:v>
                </c:pt>
                <c:pt idx="46">
                  <c:v>-427482.00000000012</c:v>
                </c:pt>
                <c:pt idx="47">
                  <c:v>-429615.00000000012</c:v>
                </c:pt>
                <c:pt idx="48">
                  <c:v>-430758.00000000012</c:v>
                </c:pt>
                <c:pt idx="49">
                  <c:v>-430946.00000000012</c:v>
                </c:pt>
                <c:pt idx="50">
                  <c:v>-431050.00000000012</c:v>
                </c:pt>
              </c:numCache>
            </c:numRef>
          </c:val>
          <c:smooth val="0"/>
          <c:extLst>
            <c:ext xmlns:c16="http://schemas.microsoft.com/office/drawing/2014/chart" uri="{C3380CC4-5D6E-409C-BE32-E72D297353CC}">
              <c16:uniqueId val="{00000003-DC9C-4D40-B2F2-34B814B3B47F}"/>
            </c:ext>
          </c:extLst>
        </c:ser>
        <c:dLbls>
          <c:showLegendKey val="0"/>
          <c:showVal val="0"/>
          <c:showCatName val="0"/>
          <c:showSerName val="0"/>
          <c:showPercent val="0"/>
          <c:showBubbleSize val="0"/>
        </c:dLbls>
        <c:smooth val="0"/>
        <c:axId val="493568904"/>
        <c:axId val="493578704"/>
      </c:lineChart>
      <c:catAx>
        <c:axId val="493568904"/>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578704"/>
        <c:crosses val="autoZero"/>
        <c:auto val="1"/>
        <c:lblAlgn val="ctr"/>
        <c:lblOffset val="100"/>
        <c:noMultiLvlLbl val="0"/>
      </c:catAx>
      <c:valAx>
        <c:axId val="493578704"/>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568904"/>
        <c:crosses val="autoZero"/>
        <c:crossBetween val="between"/>
        <c:majorUnit val="200000"/>
      </c:valAx>
      <c:spPr>
        <a:noFill/>
        <a:ln>
          <a:noFill/>
        </a:ln>
        <a:effectLst/>
      </c:spPr>
    </c:plotArea>
    <c:legend>
      <c:legendPos val="r"/>
      <c:layout>
        <c:manualLayout>
          <c:xMode val="edge"/>
          <c:yMode val="edge"/>
          <c:x val="0.3930562801076854"/>
          <c:y val="0.15274830764914823"/>
          <c:w val="0.41013781708485197"/>
          <c:h val="0.159046643571112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6" ma:contentTypeDescription="Create a new document." ma:contentTypeScope="" ma:versionID="babef6f94309d73936f548b50129161d">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7fd73dc2de6bca7168f249ec5d5b2b90"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A14C3-71E1-4D4C-8BA5-53A9A24CD8B8}">
  <ds:schemaRefs>
    <ds:schemaRef ds:uri="http://schemas.openxmlformats.org/officeDocument/2006/bibliography"/>
  </ds:schemaRefs>
</ds:datastoreItem>
</file>

<file path=customXml/itemProps2.xml><?xml version="1.0" encoding="utf-8"?>
<ds:datastoreItem xmlns:ds="http://schemas.openxmlformats.org/officeDocument/2006/customXml" ds:itemID="{5430CA2F-EAE2-4377-90F7-3795E6664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5B71A-E334-4813-BE77-892F305B0B7C}">
  <ds:schemaRefs>
    <ds:schemaRef ds:uri="http://schemas.microsoft.com/sharepoint/v3/contenttype/forms"/>
  </ds:schemaRefs>
</ds:datastoreItem>
</file>

<file path=customXml/itemProps4.xml><?xml version="1.0" encoding="utf-8"?>
<ds:datastoreItem xmlns:ds="http://schemas.openxmlformats.org/officeDocument/2006/customXml" ds:itemID="{441C0879-8721-4D19-AD55-BCF74C30B3F2}">
  <ds:schemaRef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eb1163ee-0472-4b21-9845-77639109b86b"/>
    <ds:schemaRef ds:uri="http://schemas.microsoft.com/office/2006/metadata/properties"/>
    <ds:schemaRef ds:uri="http://purl.org/dc/terms/"/>
    <ds:schemaRef ds:uri="7407a200-7ce4-42fa-8e67-2f4335de98c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7363</Words>
  <Characters>39518</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Gorman, Dave</cp:lastModifiedBy>
  <cp:revision>4</cp:revision>
  <cp:lastPrinted>2020-01-06T12:15:00Z</cp:lastPrinted>
  <dcterms:created xsi:type="dcterms:W3CDTF">2022-02-03T15:30:00Z</dcterms:created>
  <dcterms:modified xsi:type="dcterms:W3CDTF">2022-02-09T13:01:00Z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